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7FF007">
      <w:pPr>
        <w:ind w:left="0" w:leftChars="0" w:firstLine="0" w:firstLineChars="0"/>
        <w:rPr>
          <w:rStyle w:val="21"/>
          <w:rFonts w:hint="eastAsia" w:ascii="Times New Roman" w:eastAsia="方正小标宋简体"/>
          <w:sz w:val="44"/>
          <w:szCs w:val="44"/>
          <w:lang w:eastAsia="zh-CN"/>
        </w:rPr>
      </w:pPr>
    </w:p>
    <w:p w14:paraId="1AD30D7D">
      <w:pPr>
        <w:keepNext w:val="0"/>
        <w:keepLines w:val="0"/>
        <w:pageBreakBefore w:val="0"/>
        <w:widowControl w:val="0"/>
        <w:kinsoku/>
        <w:wordWrap/>
        <w:overflowPunct/>
        <w:topLinePunct w:val="0"/>
        <w:autoSpaceDE/>
        <w:autoSpaceDN/>
        <w:bidi w:val="0"/>
        <w:adjustRightInd w:val="0"/>
        <w:snapToGrid w:val="0"/>
        <w:spacing w:line="240" w:lineRule="auto"/>
        <w:ind w:right="105" w:rightChars="50"/>
        <w:jc w:val="center"/>
        <w:textAlignment w:val="auto"/>
        <w:rPr>
          <w:rStyle w:val="21"/>
          <w:rFonts w:hint="eastAsia" w:ascii="Times New Roman" w:eastAsia="方正小标宋简体"/>
          <w:sz w:val="48"/>
          <w:szCs w:val="48"/>
          <w:lang w:val="en-US" w:eastAsia="zh-CN"/>
        </w:rPr>
      </w:pPr>
      <w:r>
        <w:rPr>
          <w:rStyle w:val="21"/>
          <w:rFonts w:hint="eastAsia" w:ascii="Times New Roman" w:eastAsia="方正小标宋简体"/>
          <w:sz w:val="44"/>
          <w:szCs w:val="44"/>
          <w:lang w:eastAsia="zh-CN"/>
        </w:rPr>
        <w:t>东兴区整装推进团结水库灌区续建配套与现代化改造试点项目</w:t>
      </w:r>
      <w:r>
        <w:rPr>
          <w:rStyle w:val="21"/>
          <w:rFonts w:ascii="Times New Roman" w:eastAsia="方正小标宋简体"/>
          <w:sz w:val="44"/>
          <w:szCs w:val="44"/>
        </w:rPr>
        <w:t>情况</w:t>
      </w:r>
      <w:r>
        <w:rPr>
          <w:rStyle w:val="21"/>
          <w:rFonts w:hint="eastAsia" w:ascii="Times New Roman" w:eastAsia="方正小标宋简体"/>
          <w:sz w:val="44"/>
          <w:szCs w:val="44"/>
          <w:lang w:val="en-US" w:eastAsia="zh-CN"/>
        </w:rPr>
        <w:t>说明</w:t>
      </w:r>
    </w:p>
    <w:p w14:paraId="35FC8B7E">
      <w:pPr>
        <w:pStyle w:val="3"/>
        <w:rPr>
          <w:rStyle w:val="21"/>
          <w:rFonts w:ascii="Times New Roman" w:eastAsia="方正小标宋简体"/>
          <w:sz w:val="60"/>
          <w:szCs w:val="60"/>
        </w:rPr>
      </w:pPr>
    </w:p>
    <w:p w14:paraId="122E2919">
      <w:pPr>
        <w:pStyle w:val="3"/>
        <w:rPr>
          <w:rStyle w:val="21"/>
          <w:rFonts w:ascii="Times New Roman" w:eastAsia="方正小标宋简体"/>
          <w:sz w:val="60"/>
          <w:szCs w:val="60"/>
        </w:rPr>
      </w:pPr>
    </w:p>
    <w:p w14:paraId="00558845">
      <w:pPr>
        <w:pStyle w:val="3"/>
        <w:rPr>
          <w:rStyle w:val="21"/>
          <w:rFonts w:ascii="Times New Roman" w:eastAsia="方正小标宋简体"/>
          <w:sz w:val="60"/>
          <w:szCs w:val="60"/>
        </w:rPr>
      </w:pPr>
    </w:p>
    <w:p w14:paraId="4AAD502A">
      <w:pPr>
        <w:pStyle w:val="3"/>
        <w:rPr>
          <w:rStyle w:val="21"/>
          <w:rFonts w:ascii="Times New Roman" w:eastAsia="方正小标宋简体"/>
          <w:sz w:val="60"/>
          <w:szCs w:val="60"/>
        </w:rPr>
      </w:pPr>
    </w:p>
    <w:p w14:paraId="32591ECB">
      <w:pPr>
        <w:pStyle w:val="3"/>
        <w:rPr>
          <w:rStyle w:val="21"/>
          <w:rFonts w:ascii="Times New Roman" w:eastAsia="方正小标宋简体"/>
          <w:sz w:val="60"/>
          <w:szCs w:val="60"/>
        </w:rPr>
      </w:pPr>
    </w:p>
    <w:p w14:paraId="748659E2">
      <w:pPr>
        <w:pStyle w:val="3"/>
        <w:rPr>
          <w:rStyle w:val="21"/>
          <w:rFonts w:ascii="Times New Roman" w:eastAsia="方正小标宋简体"/>
          <w:sz w:val="60"/>
          <w:szCs w:val="60"/>
        </w:rPr>
      </w:pPr>
    </w:p>
    <w:p w14:paraId="64619807">
      <w:pPr>
        <w:pStyle w:val="3"/>
        <w:rPr>
          <w:rStyle w:val="21"/>
          <w:rFonts w:ascii="Times New Roman" w:eastAsia="方正小标宋简体"/>
          <w:sz w:val="60"/>
          <w:szCs w:val="60"/>
        </w:rPr>
      </w:pPr>
    </w:p>
    <w:p w14:paraId="1A479E54">
      <w:pPr>
        <w:pStyle w:val="3"/>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Style w:val="21"/>
          <w:rFonts w:hint="eastAsia" w:ascii="方正小标宋简体" w:hAnsi="方正小标宋简体" w:eastAsia="方正小标宋简体" w:cs="方正小标宋简体"/>
          <w:sz w:val="32"/>
          <w:szCs w:val="32"/>
          <w:lang w:val="en-US" w:eastAsia="zh-CN"/>
        </w:rPr>
      </w:pPr>
      <w:r>
        <w:rPr>
          <w:rStyle w:val="21"/>
          <w:rFonts w:hint="eastAsia" w:ascii="方正小标宋简体" w:hAnsi="方正小标宋简体" w:eastAsia="方正小标宋简体" w:cs="方正小标宋简体"/>
          <w:sz w:val="32"/>
          <w:szCs w:val="32"/>
          <w:lang w:val="en-US" w:eastAsia="zh-CN"/>
        </w:rPr>
        <w:t>内江市东兴区财政局</w:t>
      </w:r>
    </w:p>
    <w:p w14:paraId="35617676">
      <w:pPr>
        <w:pStyle w:val="3"/>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Style w:val="21"/>
          <w:rFonts w:hint="eastAsia" w:ascii="方正小标宋简体" w:hAnsi="方正小标宋简体" w:eastAsia="方正小标宋简体" w:cs="方正小标宋简体"/>
          <w:sz w:val="32"/>
          <w:szCs w:val="32"/>
          <w:lang w:val="en-US" w:eastAsia="zh-CN"/>
        </w:rPr>
      </w:pPr>
      <w:r>
        <w:rPr>
          <w:rStyle w:val="21"/>
          <w:rFonts w:hint="eastAsia" w:ascii="方正小标宋简体" w:hAnsi="方正小标宋简体" w:eastAsia="方正小标宋简体" w:cs="方正小标宋简体"/>
          <w:sz w:val="32"/>
          <w:szCs w:val="32"/>
          <w:lang w:val="en-US" w:eastAsia="zh-CN"/>
        </w:rPr>
        <w:t>内江市东兴区发展和改革局</w:t>
      </w:r>
    </w:p>
    <w:p w14:paraId="3B7C5AF4">
      <w:pPr>
        <w:pStyle w:val="3"/>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Style w:val="21"/>
          <w:rFonts w:hint="eastAsia" w:ascii="方正小标宋简体" w:hAnsi="方正小标宋简体" w:eastAsia="方正小标宋简体" w:cs="方正小标宋简体"/>
          <w:sz w:val="32"/>
          <w:szCs w:val="32"/>
          <w:lang w:val="en-US" w:eastAsia="zh-CN"/>
        </w:rPr>
      </w:pPr>
      <w:r>
        <w:rPr>
          <w:rStyle w:val="21"/>
          <w:rFonts w:hint="eastAsia" w:ascii="方正小标宋简体" w:hAnsi="方正小标宋简体" w:eastAsia="方正小标宋简体" w:cs="方正小标宋简体"/>
          <w:sz w:val="32"/>
          <w:szCs w:val="32"/>
          <w:lang w:val="en-US" w:eastAsia="zh-CN"/>
        </w:rPr>
        <w:t>内江市东兴区水利局</w:t>
      </w:r>
    </w:p>
    <w:p w14:paraId="34D10DFF">
      <w:pPr>
        <w:pStyle w:val="3"/>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Style w:val="21"/>
          <w:rFonts w:hint="default" w:ascii="Times New Roman" w:eastAsia="方正小标宋简体"/>
          <w:sz w:val="48"/>
          <w:szCs w:val="48"/>
          <w:lang w:val="en-US" w:eastAsia="zh-CN"/>
        </w:rPr>
      </w:pPr>
      <w:r>
        <w:rPr>
          <w:rStyle w:val="21"/>
          <w:rFonts w:hint="eastAsia" w:ascii="方正小标宋简体" w:hAnsi="方正小标宋简体" w:eastAsia="方正小标宋简体" w:cs="方正小标宋简体"/>
          <w:sz w:val="32"/>
          <w:szCs w:val="32"/>
          <w:lang w:val="en-US" w:eastAsia="zh-CN"/>
        </w:rPr>
        <w:t>内江市东兴区水利建设服务中心</w:t>
      </w:r>
    </w:p>
    <w:p w14:paraId="0C9D359C">
      <w:pPr>
        <w:spacing w:line="560" w:lineRule="exact"/>
        <w:ind w:firstLine="640" w:firstLineChars="200"/>
        <w:rPr>
          <w:rStyle w:val="21"/>
          <w:rFonts w:ascii="黑体" w:hAnsi="黑体" w:eastAsia="黑体"/>
          <w:sz w:val="32"/>
          <w:szCs w:val="32"/>
        </w:rPr>
        <w:sectPr>
          <w:headerReference r:id="rId3" w:type="default"/>
          <w:footerReference r:id="rId5" w:type="default"/>
          <w:headerReference r:id="rId4" w:type="even"/>
          <w:footerReference r:id="rId6" w:type="even"/>
          <w:pgSz w:w="11906" w:h="16838"/>
          <w:pgMar w:top="2098" w:right="1418" w:bottom="1588" w:left="1644" w:header="851" w:footer="992" w:gutter="0"/>
          <w:pgNumType w:start="1"/>
          <w:cols w:space="425" w:num="1"/>
          <w:docGrid w:type="lines" w:linePitch="435" w:charSpace="0"/>
        </w:sectPr>
      </w:pPr>
    </w:p>
    <w:p w14:paraId="57B2E359">
      <w:pPr>
        <w:spacing w:line="560" w:lineRule="exact"/>
        <w:ind w:firstLine="640" w:firstLineChars="200"/>
        <w:rPr>
          <w:rStyle w:val="21"/>
          <w:rFonts w:ascii="黑体" w:hAnsi="黑体" w:eastAsia="黑体"/>
          <w:sz w:val="32"/>
          <w:szCs w:val="32"/>
        </w:rPr>
      </w:pPr>
      <w:r>
        <w:rPr>
          <w:rStyle w:val="21"/>
          <w:rFonts w:ascii="黑体" w:hAnsi="黑体" w:eastAsia="黑体"/>
          <w:sz w:val="32"/>
          <w:szCs w:val="32"/>
        </w:rPr>
        <w:t>一、项目基本情况</w:t>
      </w:r>
    </w:p>
    <w:p w14:paraId="1C7371B4">
      <w:pPr>
        <w:spacing w:line="560" w:lineRule="exact"/>
        <w:ind w:firstLine="643" w:firstLineChars="200"/>
        <w:rPr>
          <w:rStyle w:val="21"/>
          <w:rFonts w:ascii="楷体_GB2312" w:eastAsia="楷体_GB2312"/>
          <w:b/>
          <w:sz w:val="32"/>
          <w:szCs w:val="32"/>
        </w:rPr>
      </w:pPr>
      <w:r>
        <w:rPr>
          <w:rStyle w:val="21"/>
          <w:rFonts w:ascii="楷体_GB2312" w:eastAsia="楷体_GB2312"/>
          <w:b/>
          <w:sz w:val="32"/>
          <w:szCs w:val="32"/>
        </w:rPr>
        <w:t>（一）市县及行业专项规划概况</w:t>
      </w:r>
    </w:p>
    <w:p w14:paraId="2990366E">
      <w:pPr>
        <w:spacing w:line="560" w:lineRule="exact"/>
        <w:ind w:firstLine="640" w:firstLineChars="200"/>
        <w:rPr>
          <w:rStyle w:val="21"/>
          <w:rFonts w:ascii="仿宋_GB2312" w:hAnsi="Calibri" w:eastAsia="仿宋_GB2312"/>
          <w:sz w:val="32"/>
          <w:szCs w:val="32"/>
        </w:rPr>
      </w:pPr>
      <w:r>
        <w:rPr>
          <w:rStyle w:val="21"/>
          <w:rFonts w:hint="eastAsia" w:ascii="仿宋_GB2312" w:hAnsi="Calibri" w:eastAsia="仿宋_GB2312"/>
          <w:sz w:val="32"/>
          <w:szCs w:val="32"/>
        </w:rPr>
        <w:t>《四川省农田灌溉发展规划》提出：到2035年，基本实现灌溉现代化，灌溉面积达到6956万亩，其中2025年达到5530万亩，2030年力争达到6407万亩；耕地灌溉面积达到5948万亩，2025年达到4580万亩，2030年力争达到5451万亩。灌溉用水节约集约利用水平明显提高，灌溉水利用系数提高到0.56以上，新增灌溉节水能力12亿立方米。灌溉供水保障能力明显提升，新增灌溉供水能力63亿立方米。粮食和重要农产品稳定安全供给的灌溉根基更加牢固，新增粮食生产能力320万吨，到2030年新增256万吨。设计灌溉面积5万亩及以上的灌区中数字孪生覆盖率达到60%以上。</w:t>
      </w:r>
    </w:p>
    <w:p w14:paraId="4C3915C2">
      <w:pPr>
        <w:spacing w:line="560" w:lineRule="exact"/>
        <w:ind w:firstLine="643" w:firstLineChars="200"/>
        <w:rPr>
          <w:rStyle w:val="21"/>
          <w:rFonts w:ascii="楷体_GB2312" w:eastAsia="楷体_GB2312"/>
          <w:b/>
          <w:sz w:val="32"/>
          <w:szCs w:val="32"/>
        </w:rPr>
      </w:pPr>
      <w:r>
        <w:rPr>
          <w:rStyle w:val="21"/>
          <w:rFonts w:ascii="楷体_GB2312" w:eastAsia="楷体_GB2312"/>
          <w:b/>
          <w:sz w:val="32"/>
          <w:szCs w:val="32"/>
        </w:rPr>
        <w:t>（二）项目情况</w:t>
      </w:r>
    </w:p>
    <w:p w14:paraId="4B4A437F">
      <w:pPr>
        <w:spacing w:line="560" w:lineRule="exact"/>
        <w:ind w:firstLine="643" w:firstLineChars="200"/>
        <w:rPr>
          <w:rStyle w:val="21"/>
          <w:rFonts w:ascii="仿宋_GB2312" w:eastAsia="仿宋_GB2312"/>
          <w:b/>
          <w:sz w:val="32"/>
          <w:szCs w:val="32"/>
        </w:rPr>
      </w:pPr>
      <w:r>
        <w:rPr>
          <w:rStyle w:val="21"/>
          <w:rFonts w:ascii="仿宋_GB2312" w:eastAsia="仿宋_GB2312"/>
          <w:b/>
          <w:sz w:val="32"/>
          <w:szCs w:val="32"/>
        </w:rPr>
        <w:t>1.参与主体</w:t>
      </w:r>
    </w:p>
    <w:p w14:paraId="0D0E5FFC">
      <w:pPr>
        <w:pStyle w:val="20"/>
        <w:spacing w:after="0" w:line="560" w:lineRule="exact"/>
        <w:ind w:firstLine="640" w:firstLineChars="200"/>
        <w:jc w:val="both"/>
        <w:rPr>
          <w:rStyle w:val="21"/>
          <w:rFonts w:hint="eastAsia" w:ascii="仿宋_GB2312" w:hAnsi="Calibri" w:eastAsia="仿宋_GB2312"/>
          <w:sz w:val="32"/>
          <w:szCs w:val="32"/>
          <w:lang w:eastAsia="zh-CN"/>
        </w:rPr>
      </w:pPr>
      <w:r>
        <w:rPr>
          <w:rStyle w:val="21"/>
          <w:rFonts w:ascii="仿宋_GB2312" w:hAnsi="Calibri" w:eastAsia="仿宋_GB2312"/>
          <w:sz w:val="32"/>
          <w:szCs w:val="32"/>
        </w:rPr>
        <w:t>项目名称：</w:t>
      </w:r>
      <w:r>
        <w:rPr>
          <w:rStyle w:val="21"/>
          <w:rFonts w:hint="eastAsia" w:ascii="仿宋_GB2312" w:hAnsi="Calibri" w:eastAsia="仿宋_GB2312"/>
          <w:sz w:val="32"/>
          <w:szCs w:val="32"/>
          <w:lang w:eastAsia="zh-CN"/>
        </w:rPr>
        <w:t>东兴区整装推进团结水库灌区续建配套与现代化改造试点项目项目</w:t>
      </w:r>
    </w:p>
    <w:p w14:paraId="6255A211">
      <w:pPr>
        <w:pStyle w:val="20"/>
        <w:spacing w:after="0" w:line="560" w:lineRule="exact"/>
        <w:ind w:firstLine="640" w:firstLineChars="200"/>
        <w:jc w:val="both"/>
        <w:rPr>
          <w:rStyle w:val="21"/>
          <w:rFonts w:hint="eastAsia" w:ascii="仿宋_GB2312" w:hAnsi="Calibri" w:eastAsia="仿宋_GB2312"/>
          <w:sz w:val="32"/>
          <w:szCs w:val="32"/>
          <w:lang w:eastAsia="zh-CN"/>
        </w:rPr>
      </w:pPr>
      <w:r>
        <w:rPr>
          <w:rStyle w:val="21"/>
          <w:rFonts w:hint="eastAsia" w:ascii="仿宋_GB2312" w:hAnsi="Calibri" w:eastAsia="仿宋_GB2312"/>
          <w:sz w:val="32"/>
          <w:szCs w:val="32"/>
          <w:lang w:val="en-US" w:eastAsia="zh-CN"/>
        </w:rPr>
        <w:t>主管单位</w:t>
      </w:r>
      <w:r>
        <w:rPr>
          <w:rStyle w:val="21"/>
          <w:rFonts w:hint="eastAsia" w:ascii="仿宋_GB2312" w:hAnsi="Calibri" w:eastAsia="仿宋_GB2312"/>
          <w:sz w:val="32"/>
          <w:szCs w:val="32"/>
        </w:rPr>
        <w:t>：</w:t>
      </w:r>
      <w:r>
        <w:rPr>
          <w:rStyle w:val="21"/>
          <w:rFonts w:hint="eastAsia" w:ascii="仿宋_GB2312" w:hAnsi="Calibri" w:eastAsia="仿宋_GB2312"/>
          <w:sz w:val="32"/>
          <w:szCs w:val="32"/>
          <w:lang w:eastAsia="zh-CN"/>
        </w:rPr>
        <w:t>内江市东兴区水利局</w:t>
      </w:r>
    </w:p>
    <w:p w14:paraId="506FFA71">
      <w:pPr>
        <w:pStyle w:val="20"/>
        <w:spacing w:after="0" w:line="560" w:lineRule="exact"/>
        <w:ind w:firstLine="640" w:firstLineChars="200"/>
        <w:jc w:val="both"/>
        <w:rPr>
          <w:rStyle w:val="21"/>
          <w:rFonts w:hint="eastAsia" w:ascii="仿宋_GB2312" w:hAnsi="Calibri" w:eastAsia="仿宋_GB2312"/>
          <w:sz w:val="32"/>
          <w:szCs w:val="32"/>
          <w:lang w:eastAsia="zh-CN"/>
        </w:rPr>
      </w:pPr>
      <w:r>
        <w:rPr>
          <w:rStyle w:val="21"/>
          <w:rFonts w:ascii="仿宋_GB2312" w:hAnsi="Calibri" w:eastAsia="仿宋_GB2312"/>
          <w:sz w:val="32"/>
          <w:szCs w:val="32"/>
        </w:rPr>
        <w:t>实施机构：</w:t>
      </w:r>
      <w:r>
        <w:rPr>
          <w:rStyle w:val="21"/>
          <w:rFonts w:hint="eastAsia" w:ascii="仿宋_GB2312" w:hAnsi="Calibri" w:eastAsia="仿宋_GB2312"/>
          <w:sz w:val="32"/>
          <w:szCs w:val="32"/>
          <w:lang w:eastAsia="zh-CN"/>
        </w:rPr>
        <w:t>内江市东兴区水利建设服务中心</w:t>
      </w:r>
    </w:p>
    <w:p w14:paraId="3B93A453">
      <w:pPr>
        <w:tabs>
          <w:tab w:val="left" w:pos="315"/>
        </w:tabs>
        <w:spacing w:line="560" w:lineRule="exact"/>
        <w:ind w:firstLine="643" w:firstLineChars="200"/>
        <w:rPr>
          <w:rStyle w:val="21"/>
          <w:rFonts w:ascii="仿宋_GB2312" w:eastAsia="仿宋_GB2312"/>
          <w:b/>
          <w:sz w:val="32"/>
          <w:szCs w:val="32"/>
        </w:rPr>
      </w:pPr>
      <w:r>
        <w:rPr>
          <w:rStyle w:val="21"/>
          <w:rFonts w:ascii="仿宋_GB2312" w:eastAsia="仿宋_GB2312"/>
          <w:b/>
          <w:sz w:val="32"/>
          <w:szCs w:val="32"/>
        </w:rPr>
        <w:t>2.项目概况</w:t>
      </w:r>
    </w:p>
    <w:p w14:paraId="7A320B1B">
      <w:pPr>
        <w:spacing w:line="560" w:lineRule="exact"/>
        <w:ind w:firstLine="640" w:firstLineChars="200"/>
        <w:rPr>
          <w:rStyle w:val="21"/>
          <w:rFonts w:ascii="仿宋_GB2312" w:hAnsi="Calibri" w:eastAsia="仿宋_GB2312"/>
          <w:sz w:val="32"/>
          <w:szCs w:val="32"/>
        </w:rPr>
      </w:pPr>
      <w:r>
        <w:rPr>
          <w:rStyle w:val="21"/>
          <w:rFonts w:hint="eastAsia" w:ascii="仿宋_GB2312" w:hAnsi="Calibri" w:eastAsia="仿宋_GB2312"/>
          <w:sz w:val="32"/>
          <w:szCs w:val="32"/>
        </w:rPr>
        <w:t>建设内容：本次整治改造、新建渠道共43条，总长62.591km，其中整治干渠（自流左、右干渠）2条，共计9.918km；支渠（柴家沟支渠、干湾支渠、瓢儿井支渠、川主支渠、新庙支渠、奉天支渠）6条，共计22.645km。整治末级渠道2条，共计4.945km；新建末级渠道33条，共计25.083km。建立团结水库灌区信息化管理分中心，对团结水库水资源进行监测和管理</w:t>
      </w:r>
      <w:r>
        <w:rPr>
          <w:rStyle w:val="21"/>
          <w:rFonts w:ascii="仿宋_GB2312" w:hAnsi="Calibri" w:eastAsia="仿宋_GB2312"/>
          <w:sz w:val="32"/>
          <w:szCs w:val="32"/>
        </w:rPr>
        <w:t>。</w:t>
      </w:r>
    </w:p>
    <w:p w14:paraId="53118D5B">
      <w:pPr>
        <w:spacing w:line="560" w:lineRule="exact"/>
        <w:ind w:firstLine="640" w:firstLineChars="200"/>
        <w:rPr>
          <w:rStyle w:val="21"/>
          <w:rFonts w:ascii="黑体" w:hAnsi="黑体" w:eastAsia="黑体"/>
          <w:sz w:val="32"/>
          <w:szCs w:val="32"/>
        </w:rPr>
      </w:pPr>
      <w:r>
        <w:rPr>
          <w:rStyle w:val="21"/>
          <w:rFonts w:ascii="黑体" w:hAnsi="黑体" w:eastAsia="黑体"/>
          <w:sz w:val="32"/>
          <w:szCs w:val="32"/>
        </w:rPr>
        <w:t>二、经济社会效益分析</w:t>
      </w:r>
    </w:p>
    <w:p w14:paraId="2D8BF15E">
      <w:pPr>
        <w:pStyle w:val="20"/>
        <w:spacing w:line="560" w:lineRule="exact"/>
        <w:ind w:firstLine="643" w:firstLineChars="200"/>
        <w:jc w:val="both"/>
        <w:rPr>
          <w:rStyle w:val="21"/>
          <w:rFonts w:ascii="楷体_GB2312" w:eastAsia="楷体_GB2312"/>
          <w:b/>
          <w:sz w:val="32"/>
          <w:szCs w:val="32"/>
        </w:rPr>
      </w:pPr>
      <w:r>
        <w:rPr>
          <w:rStyle w:val="21"/>
          <w:rFonts w:ascii="楷体_GB2312" w:eastAsia="楷体_GB2312"/>
          <w:b/>
          <w:sz w:val="32"/>
          <w:szCs w:val="32"/>
        </w:rPr>
        <w:t>（一）经济效益分析</w:t>
      </w:r>
    </w:p>
    <w:p w14:paraId="6ADCD633">
      <w:pPr>
        <w:spacing w:line="560" w:lineRule="exact"/>
        <w:ind w:firstLine="640" w:firstLineChars="200"/>
        <w:rPr>
          <w:rStyle w:val="21"/>
          <w:rFonts w:ascii="仿宋_GB2312" w:hAnsi="Calibri" w:eastAsia="仿宋_GB2312"/>
          <w:sz w:val="32"/>
          <w:szCs w:val="32"/>
        </w:rPr>
      </w:pPr>
      <w:r>
        <w:rPr>
          <w:rStyle w:val="21"/>
          <w:rFonts w:hint="eastAsia" w:ascii="仿宋_GB2312" w:hAnsi="Calibri" w:eastAsia="仿宋_GB2312"/>
          <w:sz w:val="32"/>
          <w:szCs w:val="32"/>
        </w:rPr>
        <w:t>东兴区整装推进团结水库灌区续建配套与现代化改造试点项目以专项债为融资支撑，通过渠道防渗、智能化灌溉系统改造，可改善灌溉面积1.05万亩、新增0.26万亩，将灌溉水利用系数从0.54提升至0.74，预计年节约水量超500万立方米、年增农业产值超300万元，同时降低渠道维护成本30%-40%；且能通过水费、土地增值收益及财政补贴构建多元偿债来源；社会效益层面，项目可稳定保障10万亩农田灌溉、支撑粮食年产量超5万吨，带动农户户均增收2000元/年，新增就业岗位200余个，还能恢复湿地面积500亩改善生态，整体不仅实现专项债资金高效利用，更能为东兴区乡村振兴与高质量发展提供持久动能</w:t>
      </w:r>
      <w:r>
        <w:rPr>
          <w:rStyle w:val="21"/>
          <w:rFonts w:ascii="仿宋_GB2312" w:hAnsi="Calibri" w:eastAsia="仿宋_GB2312"/>
          <w:sz w:val="32"/>
          <w:szCs w:val="32"/>
        </w:rPr>
        <w:t>。</w:t>
      </w:r>
    </w:p>
    <w:p w14:paraId="51F42B4F">
      <w:pPr>
        <w:pStyle w:val="20"/>
        <w:spacing w:line="560" w:lineRule="exact"/>
        <w:ind w:firstLine="643" w:firstLineChars="200"/>
        <w:jc w:val="both"/>
        <w:rPr>
          <w:rStyle w:val="21"/>
          <w:rFonts w:ascii="楷体_GB2312" w:eastAsia="楷体_GB2312"/>
          <w:b/>
          <w:sz w:val="32"/>
          <w:szCs w:val="32"/>
        </w:rPr>
      </w:pPr>
      <w:r>
        <w:rPr>
          <w:rStyle w:val="21"/>
          <w:rFonts w:ascii="楷体_GB2312" w:eastAsia="楷体_GB2312"/>
          <w:b/>
          <w:sz w:val="32"/>
          <w:szCs w:val="32"/>
        </w:rPr>
        <w:t>（二）社会效益分析</w:t>
      </w:r>
    </w:p>
    <w:p w14:paraId="08AB8A3C">
      <w:pPr>
        <w:pStyle w:val="20"/>
        <w:spacing w:line="560" w:lineRule="exact"/>
        <w:ind w:firstLine="640" w:firstLineChars="200"/>
        <w:jc w:val="both"/>
        <w:rPr>
          <w:rStyle w:val="21"/>
          <w:rFonts w:hint="eastAsia" w:ascii="仿宋_GB2312" w:eastAsia="仿宋_GB2312"/>
          <w:color w:val="000000"/>
          <w:sz w:val="32"/>
          <w:szCs w:val="32"/>
        </w:rPr>
      </w:pPr>
      <w:r>
        <w:rPr>
          <w:rStyle w:val="21"/>
          <w:rFonts w:hint="eastAsia" w:ascii="仿宋_GB2312" w:eastAsia="仿宋_GB2312"/>
          <w:color w:val="000000"/>
          <w:sz w:val="32"/>
          <w:szCs w:val="32"/>
        </w:rPr>
        <w:t>东兴区整装推进团结水库灌区续建配套与现代化改造试点项目的社会效益显著，可从民生保障、产业带动、生态改善及区域协同四方面体现：项目通过优化灌溉设施，能稳定保障10万亩农田用水，支撑粮食年产量超5万吨，筑牢区域粮食安全底线，同时借助灌溉效率提升推动单产提高15%-20%、推广再生稻“一种两收”模式，结合渠道维护成本降低30%-40%，可带动农户户均年增收2000元，减轻农业生产负担；在就业与产业融合上，项目建设阶段能创造短期务工岗位，运营后还可吸引现代农业企业投资，发展农产品加工、乡村旅游等业态，预计新增长期就业岗位200余个，带动产业链年增值超1亿元；生态层面，年节约500万立方米水资源可用于生态补水，恢复湿地面积500亩，改善区域小气候与生物多样性，同时减少渠道渗漏引发的土壤盐碱化，降低农药化肥过度使用风险，提升农产品质量与居民生活环境；此外，项目完善的水利基础设施还能促进城乡要素流动，吸引人才回流农村，助力东兴区乡村振兴战略落地，为区域高质量发展提供基础支撑。</w:t>
      </w:r>
    </w:p>
    <w:p w14:paraId="5A1612D3">
      <w:pPr>
        <w:pStyle w:val="20"/>
        <w:spacing w:line="560" w:lineRule="exact"/>
        <w:ind w:firstLine="640" w:firstLineChars="200"/>
        <w:jc w:val="both"/>
        <w:rPr>
          <w:rStyle w:val="21"/>
          <w:rFonts w:ascii="黑体" w:hAnsi="黑体" w:eastAsia="黑体"/>
          <w:sz w:val="32"/>
          <w:szCs w:val="32"/>
        </w:rPr>
      </w:pPr>
      <w:r>
        <w:rPr>
          <w:rStyle w:val="21"/>
          <w:rFonts w:ascii="黑体" w:hAnsi="黑体" w:eastAsia="黑体"/>
          <w:sz w:val="32"/>
          <w:szCs w:val="32"/>
        </w:rPr>
        <w:t>三、项目投资估算及资金筹措方案</w:t>
      </w:r>
    </w:p>
    <w:p w14:paraId="3C574940">
      <w:pPr>
        <w:spacing w:after="120" w:line="560" w:lineRule="exact"/>
        <w:ind w:firstLine="643" w:firstLineChars="200"/>
        <w:jc w:val="left"/>
        <w:rPr>
          <w:rStyle w:val="21"/>
          <w:rFonts w:ascii="楷体_GB2312" w:eastAsia="楷体_GB2312"/>
          <w:b/>
          <w:sz w:val="32"/>
          <w:szCs w:val="32"/>
        </w:rPr>
      </w:pPr>
      <w:r>
        <w:rPr>
          <w:rStyle w:val="21"/>
          <w:rFonts w:ascii="楷体_GB2312" w:eastAsia="楷体_GB2312"/>
          <w:b/>
          <w:sz w:val="32"/>
          <w:szCs w:val="32"/>
        </w:rPr>
        <w:t>（一）投资估算</w:t>
      </w:r>
    </w:p>
    <w:p w14:paraId="569CD89E">
      <w:pPr>
        <w:spacing w:after="120" w:line="560" w:lineRule="exact"/>
        <w:ind w:firstLine="640" w:firstLineChars="200"/>
        <w:jc w:val="both"/>
        <w:rPr>
          <w:rStyle w:val="21"/>
          <w:rFonts w:ascii="仿宋_GB2312" w:hAnsi="Calibri" w:eastAsia="仿宋_GB2312"/>
          <w:sz w:val="32"/>
          <w:szCs w:val="32"/>
        </w:rPr>
      </w:pPr>
      <w:r>
        <w:rPr>
          <w:rStyle w:val="21"/>
          <w:rFonts w:hint="eastAsia" w:ascii="仿宋_GB2312" w:hAnsi="Calibri" w:eastAsia="仿宋_GB2312"/>
          <w:sz w:val="32"/>
          <w:szCs w:val="32"/>
        </w:rPr>
        <w:t>本项目总投资5517.92万元，其中静态投资（建设投资）5474.22万元，占总投资比例为99.03%；建设期债券利息为41.80万元，占总投资比例为0.93%；发行费用为1.90万元，占总投资比例为0.04%</w:t>
      </w:r>
      <w:r>
        <w:rPr>
          <w:rStyle w:val="21"/>
          <w:rFonts w:ascii="仿宋_GB2312" w:hAnsi="Calibri" w:eastAsia="仿宋_GB2312"/>
          <w:sz w:val="32"/>
          <w:szCs w:val="32"/>
        </w:rPr>
        <w:t>。</w:t>
      </w:r>
    </w:p>
    <w:p w14:paraId="7EDCD157">
      <w:pPr>
        <w:spacing w:after="120" w:line="560" w:lineRule="exact"/>
        <w:ind w:firstLine="643" w:firstLineChars="200"/>
        <w:jc w:val="left"/>
        <w:rPr>
          <w:rStyle w:val="21"/>
          <w:rFonts w:ascii="楷体_GB2312" w:eastAsia="楷体_GB2312"/>
          <w:b/>
          <w:sz w:val="32"/>
          <w:szCs w:val="32"/>
        </w:rPr>
      </w:pPr>
      <w:r>
        <w:rPr>
          <w:rStyle w:val="21"/>
          <w:rFonts w:ascii="楷体_GB2312" w:eastAsia="楷体_GB2312"/>
          <w:b/>
          <w:sz w:val="32"/>
          <w:szCs w:val="32"/>
        </w:rPr>
        <w:t>（二）资金筹措方案</w:t>
      </w:r>
    </w:p>
    <w:p w14:paraId="7CC91959">
      <w:pPr>
        <w:spacing w:after="120" w:line="560" w:lineRule="exact"/>
        <w:ind w:firstLine="643" w:firstLineChars="200"/>
        <w:jc w:val="left"/>
        <w:rPr>
          <w:rStyle w:val="21"/>
          <w:rFonts w:ascii="仿宋_GB2312" w:eastAsia="仿宋_GB2312"/>
          <w:b/>
          <w:sz w:val="32"/>
          <w:szCs w:val="32"/>
        </w:rPr>
      </w:pPr>
      <w:r>
        <w:rPr>
          <w:rStyle w:val="21"/>
          <w:rFonts w:ascii="仿宋_GB2312" w:eastAsia="仿宋_GB2312"/>
          <w:b/>
          <w:sz w:val="32"/>
          <w:szCs w:val="32"/>
        </w:rPr>
        <w:t>1.资金筹集情况</w:t>
      </w:r>
    </w:p>
    <w:p w14:paraId="2E7BB660">
      <w:pPr>
        <w:spacing w:after="120" w:line="560" w:lineRule="exact"/>
        <w:ind w:firstLine="640" w:firstLineChars="200"/>
        <w:jc w:val="left"/>
        <w:rPr>
          <w:rStyle w:val="21"/>
          <w:rFonts w:hint="eastAsia" w:ascii="仿宋_GB2312" w:hAnsi="Calibri" w:eastAsia="仿宋_GB2312"/>
          <w:sz w:val="32"/>
          <w:szCs w:val="32"/>
        </w:rPr>
      </w:pPr>
      <w:r>
        <w:rPr>
          <w:rStyle w:val="21"/>
          <w:rFonts w:hint="eastAsia" w:ascii="仿宋_GB2312" w:hAnsi="Calibri" w:eastAsia="仿宋_GB2312"/>
          <w:sz w:val="32"/>
          <w:szCs w:val="32"/>
        </w:rPr>
        <w:t>本项目总投资为5517.92万元，资本金来源：项目资本金3617.92万元，占筹措资金总额的65.57%，由财政预算资金落实解决。</w:t>
      </w:r>
    </w:p>
    <w:p w14:paraId="30645CB5">
      <w:pPr>
        <w:spacing w:after="120" w:line="560" w:lineRule="exact"/>
        <w:ind w:firstLine="640" w:firstLineChars="200"/>
        <w:jc w:val="left"/>
        <w:rPr>
          <w:rStyle w:val="21"/>
          <w:rFonts w:hint="eastAsia" w:ascii="仿宋_GB2312" w:hAnsi="Calibri" w:eastAsia="仿宋_GB2312"/>
          <w:sz w:val="32"/>
          <w:szCs w:val="32"/>
        </w:rPr>
      </w:pPr>
      <w:r>
        <w:rPr>
          <w:rStyle w:val="21"/>
          <w:rFonts w:hint="eastAsia" w:ascii="仿宋_GB2312" w:hAnsi="Calibri" w:eastAsia="仿宋_GB2312"/>
          <w:sz w:val="32"/>
          <w:szCs w:val="32"/>
        </w:rPr>
        <w:t>融资来源：本项目计划发行专项债券1900.00万元，占筹措资金总额的34.43%。债券期限为30年，债券利率按2.2%，每半年支付利息，到期偿还本金测算。债券拟于2026年发行1900.00万元。除专项债券外，本项目没有其他融资。</w:t>
      </w:r>
    </w:p>
    <w:p w14:paraId="3610D051">
      <w:pPr>
        <w:spacing w:after="120" w:line="560" w:lineRule="exact"/>
        <w:ind w:firstLine="643" w:firstLineChars="200"/>
        <w:jc w:val="left"/>
        <w:rPr>
          <w:rStyle w:val="21"/>
          <w:rFonts w:ascii="仿宋_GB2312" w:eastAsia="仿宋_GB2312"/>
          <w:b/>
          <w:sz w:val="32"/>
          <w:szCs w:val="32"/>
        </w:rPr>
      </w:pPr>
      <w:r>
        <w:rPr>
          <w:rStyle w:val="21"/>
          <w:rFonts w:ascii="仿宋_GB2312" w:eastAsia="仿宋_GB2312"/>
          <w:b/>
          <w:sz w:val="32"/>
          <w:szCs w:val="32"/>
        </w:rPr>
        <w:t>2.资金使用计划</w:t>
      </w:r>
    </w:p>
    <w:p w14:paraId="67A3B889">
      <w:pPr>
        <w:spacing w:after="120" w:line="560" w:lineRule="exact"/>
        <w:ind w:firstLine="640" w:firstLineChars="200"/>
        <w:rPr>
          <w:rStyle w:val="21"/>
          <w:rFonts w:ascii="仿宋_GB2312" w:hAnsi="Calibri" w:eastAsia="仿宋_GB2312"/>
          <w:sz w:val="32"/>
          <w:szCs w:val="32"/>
        </w:rPr>
      </w:pPr>
      <w:r>
        <w:rPr>
          <w:rStyle w:val="21"/>
          <w:rFonts w:hint="eastAsia" w:ascii="仿宋_GB2312" w:hAnsi="Calibri" w:eastAsia="仿宋_GB2312"/>
          <w:sz w:val="32"/>
          <w:szCs w:val="32"/>
        </w:rPr>
        <w:t>本项目总投资5517.92万元，2026年计划投资5517.92万元。本项目建设期利息和发行费用全部由资本金覆盖</w:t>
      </w:r>
      <w:r>
        <w:rPr>
          <w:rStyle w:val="21"/>
          <w:rFonts w:ascii="仿宋_GB2312" w:hAnsi="Calibri" w:eastAsia="仿宋_GB2312"/>
          <w:sz w:val="32"/>
          <w:szCs w:val="32"/>
        </w:rPr>
        <w:t>。</w:t>
      </w:r>
    </w:p>
    <w:p w14:paraId="541FD746">
      <w:pPr>
        <w:spacing w:after="120" w:line="560" w:lineRule="exact"/>
        <w:ind w:firstLine="640" w:firstLineChars="200"/>
        <w:rPr>
          <w:rStyle w:val="21"/>
          <w:rFonts w:ascii="黑体" w:hAnsi="黑体" w:eastAsia="黑体"/>
          <w:sz w:val="32"/>
          <w:szCs w:val="32"/>
        </w:rPr>
      </w:pPr>
      <w:r>
        <w:rPr>
          <w:rStyle w:val="21"/>
          <w:rFonts w:ascii="黑体" w:hAnsi="黑体" w:eastAsia="黑体"/>
          <w:sz w:val="32"/>
          <w:szCs w:val="32"/>
        </w:rPr>
        <w:t>四、项目预期收益、成本及融资平衡情况</w:t>
      </w:r>
    </w:p>
    <w:p w14:paraId="42DA00D2">
      <w:pPr>
        <w:spacing w:after="120" w:line="560" w:lineRule="exact"/>
        <w:ind w:firstLine="643" w:firstLineChars="200"/>
        <w:rPr>
          <w:rStyle w:val="21"/>
          <w:rFonts w:ascii="楷体_GB2312" w:eastAsia="楷体_GB2312"/>
          <w:b/>
          <w:sz w:val="32"/>
          <w:szCs w:val="32"/>
        </w:rPr>
      </w:pPr>
      <w:r>
        <w:rPr>
          <w:rStyle w:val="21"/>
          <w:rFonts w:ascii="楷体_GB2312" w:eastAsia="楷体_GB2312"/>
          <w:b/>
          <w:sz w:val="32"/>
          <w:szCs w:val="32"/>
        </w:rPr>
        <w:t>（一）预期收益</w:t>
      </w:r>
    </w:p>
    <w:p w14:paraId="48BCD91C">
      <w:pPr>
        <w:spacing w:after="120" w:line="560" w:lineRule="exact"/>
        <w:ind w:firstLine="643" w:firstLineChars="200"/>
        <w:rPr>
          <w:rStyle w:val="21"/>
          <w:rFonts w:ascii="仿宋_GB2312" w:eastAsia="仿宋_GB2312"/>
          <w:b/>
          <w:sz w:val="32"/>
          <w:szCs w:val="32"/>
        </w:rPr>
      </w:pPr>
      <w:r>
        <w:rPr>
          <w:rStyle w:val="21"/>
          <w:rFonts w:ascii="仿宋_GB2312" w:eastAsia="仿宋_GB2312"/>
          <w:b/>
          <w:sz w:val="32"/>
          <w:szCs w:val="32"/>
        </w:rPr>
        <w:t>1.项目收入</w:t>
      </w:r>
    </w:p>
    <w:p w14:paraId="1167EC57">
      <w:pPr>
        <w:spacing w:after="120" w:line="560" w:lineRule="exact"/>
        <w:ind w:firstLine="640" w:firstLineChars="200"/>
        <w:rPr>
          <w:rStyle w:val="21"/>
          <w:rFonts w:ascii="仿宋_GB2312" w:hAnsi="仿宋_GB2312" w:eastAsia="仿宋_GB2312"/>
          <w:sz w:val="32"/>
          <w:szCs w:val="32"/>
        </w:rPr>
      </w:pPr>
      <w:r>
        <w:rPr>
          <w:rStyle w:val="21"/>
          <w:rFonts w:hint="eastAsia" w:ascii="仿宋_GB2312" w:hAnsi="仿宋_GB2312" w:eastAsia="仿宋_GB2312"/>
          <w:sz w:val="32"/>
          <w:szCs w:val="32"/>
        </w:rPr>
        <w:t>本期债券对应项目收入来源城乡供水收入、灌溉用水收入。收入单价已按市场调节价或根据同类型业务市场单价估算</w:t>
      </w:r>
      <w:r>
        <w:rPr>
          <w:rStyle w:val="21"/>
          <w:rFonts w:hint="eastAsia" w:ascii="仿宋_GB2312" w:hAnsi="仿宋_GB2312" w:eastAsia="仿宋_GB2312"/>
          <w:sz w:val="32"/>
          <w:szCs w:val="32"/>
          <w:lang w:eastAsia="zh-CN"/>
        </w:rPr>
        <w:t>。经测算，运营期内可实现项目总收入5966.05万元</w:t>
      </w:r>
      <w:r>
        <w:rPr>
          <w:rStyle w:val="21"/>
          <w:rFonts w:ascii="仿宋_GB2312" w:hAnsi="仿宋_GB2312" w:eastAsia="仿宋_GB2312"/>
          <w:sz w:val="32"/>
          <w:szCs w:val="32"/>
        </w:rPr>
        <w:t>。</w:t>
      </w:r>
    </w:p>
    <w:p w14:paraId="79EAE109">
      <w:pPr>
        <w:spacing w:after="120" w:line="560" w:lineRule="exact"/>
        <w:ind w:firstLine="643" w:firstLineChars="200"/>
        <w:rPr>
          <w:rStyle w:val="21"/>
          <w:rFonts w:ascii="仿宋_GB2312" w:eastAsia="仿宋_GB2312"/>
          <w:b/>
          <w:sz w:val="32"/>
          <w:szCs w:val="32"/>
        </w:rPr>
      </w:pPr>
      <w:r>
        <w:rPr>
          <w:rStyle w:val="21"/>
          <w:rFonts w:ascii="仿宋_GB2312" w:eastAsia="仿宋_GB2312"/>
          <w:b/>
          <w:sz w:val="32"/>
          <w:szCs w:val="32"/>
        </w:rPr>
        <w:t>2.项目成本</w:t>
      </w:r>
    </w:p>
    <w:p w14:paraId="06491032">
      <w:pPr>
        <w:spacing w:line="560" w:lineRule="exact"/>
        <w:ind w:firstLine="640" w:firstLineChars="200"/>
        <w:rPr>
          <w:rStyle w:val="21"/>
          <w:rFonts w:ascii="仿宋_GB2312" w:eastAsia="仿宋_GB2312"/>
          <w:sz w:val="28"/>
          <w:szCs w:val="24"/>
        </w:rPr>
      </w:pPr>
      <w:r>
        <w:rPr>
          <w:rStyle w:val="21"/>
          <w:rFonts w:hint="eastAsia" w:ascii="仿宋_GB2312" w:eastAsia="仿宋_GB2312"/>
          <w:sz w:val="32"/>
          <w:szCs w:val="32"/>
          <w:lang w:eastAsia="zh-CN"/>
        </w:rPr>
        <w:t>东兴区整装推进团结水库灌区续建配套与现代化改造试点项目</w:t>
      </w:r>
      <w:r>
        <w:rPr>
          <w:rStyle w:val="21"/>
          <w:rFonts w:hint="eastAsia" w:ascii="仿宋_GB2312" w:eastAsia="仿宋_GB2312"/>
          <w:sz w:val="32"/>
          <w:szCs w:val="32"/>
        </w:rPr>
        <w:t>成本预测，主要财务费用、项目经营成本费用、折旧摊销费用等。项目成本测算根据项目可行性研究报告及相关资料，结合类似项目及项目所在地市场情况考虑</w:t>
      </w:r>
      <w:r>
        <w:rPr>
          <w:rStyle w:val="21"/>
          <w:rFonts w:ascii="仿宋_GB2312" w:eastAsia="仿宋_GB2312"/>
          <w:sz w:val="32"/>
          <w:szCs w:val="32"/>
        </w:rPr>
        <w:t>，</w:t>
      </w:r>
      <w:r>
        <w:rPr>
          <w:rStyle w:val="21"/>
          <w:rFonts w:hint="eastAsia" w:ascii="仿宋_GB2312" w:eastAsia="仿宋_GB2312"/>
          <w:sz w:val="32"/>
          <w:szCs w:val="32"/>
        </w:rPr>
        <w:t>项目总成本费用共7792.43万元</w:t>
      </w:r>
      <w:r>
        <w:rPr>
          <w:rStyle w:val="21"/>
          <w:rFonts w:ascii="仿宋_GB2312" w:eastAsia="仿宋_GB2312"/>
          <w:sz w:val="32"/>
          <w:szCs w:val="32"/>
        </w:rPr>
        <w:t>。</w:t>
      </w:r>
    </w:p>
    <w:p w14:paraId="7B482F93">
      <w:pPr>
        <w:spacing w:after="120" w:line="560" w:lineRule="exact"/>
        <w:ind w:firstLine="643" w:firstLineChars="200"/>
        <w:rPr>
          <w:rStyle w:val="21"/>
          <w:rFonts w:ascii="楷体_GB2312" w:eastAsia="楷体_GB2312"/>
          <w:b/>
          <w:sz w:val="32"/>
          <w:szCs w:val="32"/>
        </w:rPr>
      </w:pPr>
      <w:r>
        <w:rPr>
          <w:rStyle w:val="21"/>
          <w:rFonts w:ascii="楷体_GB2312" w:eastAsia="楷体_GB2312"/>
          <w:b/>
          <w:sz w:val="32"/>
          <w:szCs w:val="32"/>
        </w:rPr>
        <w:t>（二）资金测算平衡情况</w:t>
      </w:r>
    </w:p>
    <w:p w14:paraId="063C09BF">
      <w:pPr>
        <w:snapToGrid w:val="0"/>
        <w:spacing w:after="217" w:line="560" w:lineRule="exact"/>
        <w:ind w:firstLine="612" w:firstLineChars="200"/>
        <w:jc w:val="both"/>
        <w:rPr>
          <w:rStyle w:val="21"/>
          <w:rFonts w:ascii="仿宋_GB2312" w:eastAsia="仿宋_GB2312"/>
          <w:spacing w:val="-7"/>
          <w:sz w:val="32"/>
          <w:szCs w:val="32"/>
        </w:rPr>
        <w:sectPr>
          <w:pgSz w:w="11906" w:h="16838"/>
          <w:pgMar w:top="2098" w:right="1418" w:bottom="1588" w:left="1644" w:header="851" w:footer="992" w:gutter="0"/>
          <w:pgNumType w:start="1"/>
          <w:cols w:space="425" w:num="1"/>
          <w:docGrid w:type="lines" w:linePitch="435" w:charSpace="0"/>
        </w:sectPr>
      </w:pPr>
      <w:r>
        <w:rPr>
          <w:rStyle w:val="21"/>
          <w:rFonts w:hint="eastAsia" w:ascii="仿宋_GB2312" w:eastAsia="仿宋_GB2312"/>
          <w:spacing w:val="-7"/>
          <w:sz w:val="32"/>
          <w:szCs w:val="32"/>
        </w:rPr>
        <w:t>计算期内累计资金流入11483.97万元，累计资金流出11340.53万元，累计现金结余143.44万元。本项目1900.00万元专项债券到期时，在偿还当年到期的债券本息后，将仍有143.44万元的累计现金结余，项目总收益为3255.64万元，项目应还本付息3154.00万元，项目本息覆盖倍数为1.03倍，期间将不存在任何资金缺口</w:t>
      </w:r>
      <w:r>
        <w:rPr>
          <w:rStyle w:val="21"/>
          <w:rFonts w:ascii="仿宋_GB2312" w:eastAsia="仿宋_GB2312"/>
          <w:spacing w:val="-7"/>
          <w:sz w:val="32"/>
          <w:szCs w:val="32"/>
        </w:rPr>
        <w:t>。</w:t>
      </w:r>
    </w:p>
    <w:p w14:paraId="6D0841EE">
      <w:pPr>
        <w:spacing w:after="80" w:line="240" w:lineRule="auto"/>
        <w:ind w:firstLine="240" w:firstLineChars="100"/>
        <w:rPr>
          <w:rFonts w:hint="eastAsia" w:ascii="等线" w:hAnsi="等线" w:eastAsia="等线" w:cs="宋体"/>
          <w:b/>
          <w:bCs/>
          <w:color w:val="000000"/>
          <w:kern w:val="0"/>
          <w:sz w:val="24"/>
          <w:szCs w:val="24"/>
          <w:lang w:val="en-GB" w:bidi="ar"/>
        </w:rPr>
      </w:pPr>
      <w:bookmarkStart w:id="0" w:name="_Hlk56084709"/>
      <w:r>
        <w:rPr>
          <w:rFonts w:hint="eastAsia" w:ascii="等线" w:hAnsi="等线" w:eastAsia="等线" w:cs="宋体"/>
          <w:b/>
          <w:bCs/>
          <w:color w:val="000000"/>
          <w:kern w:val="0"/>
          <w:sz w:val="24"/>
          <w:szCs w:val="24"/>
          <w:lang w:val="en-GB" w:bidi="ar"/>
        </w:rPr>
        <w:t>附表</w:t>
      </w:r>
      <w:r>
        <w:rPr>
          <w:rFonts w:hint="eastAsia" w:ascii="等线" w:hAnsi="等线" w:eastAsia="等线" w:cs="宋体"/>
          <w:b/>
          <w:bCs/>
          <w:color w:val="000000"/>
          <w:kern w:val="0"/>
          <w:sz w:val="24"/>
          <w:szCs w:val="24"/>
          <w:lang w:val="en-US" w:eastAsia="zh-CN" w:bidi="ar"/>
        </w:rPr>
        <w:t>3</w:t>
      </w:r>
      <w:r>
        <w:rPr>
          <w:rFonts w:hint="eastAsia" w:ascii="等线" w:hAnsi="等线" w:eastAsia="等线" w:cs="宋体"/>
          <w:b/>
          <w:bCs/>
          <w:color w:val="000000"/>
          <w:kern w:val="0"/>
          <w:sz w:val="24"/>
          <w:szCs w:val="24"/>
          <w:lang w:val="en-GB" w:bidi="ar"/>
        </w:rPr>
        <w:t>-</w:t>
      </w:r>
      <w:r>
        <w:rPr>
          <w:rFonts w:hint="eastAsia" w:ascii="等线" w:hAnsi="等线" w:eastAsia="等线" w:cs="宋体"/>
          <w:b/>
          <w:bCs/>
          <w:color w:val="000000"/>
          <w:kern w:val="0"/>
          <w:sz w:val="24"/>
          <w:szCs w:val="24"/>
          <w:lang w:val="en-US" w:eastAsia="zh-CN" w:bidi="ar"/>
        </w:rPr>
        <w:t>1</w:t>
      </w:r>
      <w:r>
        <w:rPr>
          <w:rFonts w:hint="eastAsia" w:ascii="等线" w:hAnsi="等线" w:eastAsia="等线" w:cs="宋体"/>
          <w:b/>
          <w:bCs/>
          <w:color w:val="000000"/>
          <w:kern w:val="0"/>
          <w:sz w:val="24"/>
          <w:szCs w:val="24"/>
          <w:lang w:val="en-GB" w:bidi="ar"/>
        </w:rPr>
        <w:t>：</w:t>
      </w:r>
      <w:r>
        <w:rPr>
          <w:rFonts w:hint="eastAsia" w:ascii="等线" w:hAnsi="等线" w:eastAsia="等线" w:cs="宋体"/>
          <w:b/>
          <w:bCs/>
          <w:color w:val="000000"/>
          <w:kern w:val="0"/>
          <w:sz w:val="24"/>
          <w:szCs w:val="24"/>
          <w:lang w:bidi="ar"/>
        </w:rPr>
        <w:t xml:space="preserve">                 </w:t>
      </w:r>
      <w:r>
        <w:rPr>
          <w:rFonts w:hint="eastAsia" w:ascii="等线" w:hAnsi="等线" w:eastAsia="等线" w:cs="宋体"/>
          <w:b/>
          <w:bCs/>
          <w:color w:val="000000"/>
          <w:kern w:val="0"/>
          <w:sz w:val="24"/>
          <w:szCs w:val="24"/>
          <w:lang w:val="en-US" w:eastAsia="zh-CN" w:bidi="ar"/>
        </w:rPr>
        <w:t xml:space="preserve">  </w:t>
      </w:r>
      <w:r>
        <w:rPr>
          <w:rFonts w:hint="eastAsia" w:ascii="等线" w:hAnsi="等线" w:eastAsia="等线" w:cs="宋体"/>
          <w:b/>
          <w:bCs/>
          <w:color w:val="000000"/>
          <w:kern w:val="0"/>
          <w:sz w:val="24"/>
          <w:szCs w:val="24"/>
          <w:lang w:bidi="ar"/>
        </w:rPr>
        <w:t xml:space="preserve">  </w:t>
      </w:r>
      <w:r>
        <w:rPr>
          <w:rFonts w:hint="eastAsia" w:ascii="等线" w:hAnsi="等线" w:eastAsia="等线" w:cs="宋体"/>
          <w:b/>
          <w:bCs/>
          <w:color w:val="000000"/>
          <w:kern w:val="0"/>
          <w:sz w:val="24"/>
          <w:szCs w:val="24"/>
          <w:lang w:val="en-US" w:eastAsia="zh-CN" w:bidi="ar"/>
        </w:rPr>
        <w:t xml:space="preserve">         </w:t>
      </w:r>
      <w:r>
        <w:rPr>
          <w:rFonts w:hint="eastAsia" w:ascii="等线" w:hAnsi="等线" w:eastAsia="等线" w:cs="宋体"/>
          <w:b/>
          <w:bCs/>
          <w:color w:val="000000"/>
          <w:kern w:val="0"/>
          <w:sz w:val="24"/>
          <w:szCs w:val="24"/>
          <w:lang w:bidi="ar"/>
        </w:rPr>
        <w:t xml:space="preserve">   </w:t>
      </w:r>
      <w:r>
        <w:rPr>
          <w:rFonts w:hint="eastAsia" w:ascii="等线" w:hAnsi="等线" w:eastAsia="等线" w:cs="宋体"/>
          <w:b/>
          <w:bCs/>
          <w:color w:val="000000"/>
          <w:kern w:val="0"/>
          <w:sz w:val="24"/>
          <w:szCs w:val="24"/>
          <w:lang w:val="en-GB" w:bidi="ar"/>
        </w:rPr>
        <w:t>项目资金测算平衡表</w:t>
      </w:r>
      <w:r>
        <w:rPr>
          <w:rFonts w:hint="eastAsia" w:ascii="等线" w:hAnsi="等线" w:eastAsia="等线" w:cs="宋体"/>
          <w:b/>
          <w:bCs/>
          <w:color w:val="000000"/>
          <w:kern w:val="0"/>
          <w:sz w:val="24"/>
          <w:szCs w:val="24"/>
          <w:lang w:val="en-US" w:eastAsia="zh-CN" w:bidi="ar"/>
        </w:rPr>
        <w:t xml:space="preserve"> </w:t>
      </w:r>
      <w:r>
        <w:rPr>
          <w:rFonts w:hint="eastAsia" w:ascii="等线" w:hAnsi="等线" w:eastAsia="等线" w:cs="宋体"/>
          <w:b/>
          <w:bCs/>
          <w:color w:val="000000"/>
          <w:kern w:val="0"/>
          <w:sz w:val="24"/>
          <w:szCs w:val="24"/>
          <w:lang w:bidi="ar"/>
        </w:rPr>
        <w:t xml:space="preserve">               </w:t>
      </w:r>
      <w:r>
        <w:rPr>
          <w:rFonts w:hint="eastAsia" w:ascii="等线" w:hAnsi="等线" w:eastAsia="等线" w:cs="宋体"/>
          <w:b/>
          <w:bCs/>
          <w:color w:val="000000"/>
          <w:kern w:val="0"/>
          <w:sz w:val="24"/>
          <w:szCs w:val="24"/>
          <w:lang w:val="en-US" w:eastAsia="zh-CN" w:bidi="ar"/>
        </w:rPr>
        <w:t xml:space="preserve">         </w:t>
      </w:r>
      <w:r>
        <w:rPr>
          <w:rFonts w:hint="eastAsia" w:ascii="等线" w:hAnsi="等线" w:eastAsia="等线" w:cs="宋体"/>
          <w:b/>
          <w:bCs/>
          <w:color w:val="000000"/>
          <w:kern w:val="0"/>
          <w:sz w:val="24"/>
          <w:szCs w:val="24"/>
          <w:lang w:bidi="ar"/>
        </w:rPr>
        <w:t xml:space="preserve">   </w:t>
      </w:r>
      <w:r>
        <w:rPr>
          <w:rFonts w:hint="eastAsia" w:ascii="等线" w:hAnsi="等线" w:eastAsia="等线" w:cs="宋体"/>
          <w:b/>
          <w:bCs/>
          <w:color w:val="000000"/>
          <w:kern w:val="0"/>
          <w:sz w:val="24"/>
          <w:szCs w:val="24"/>
          <w:lang w:val="en-GB" w:bidi="ar"/>
        </w:rPr>
        <w:t>（</w:t>
      </w:r>
      <w:r>
        <w:rPr>
          <w:rFonts w:hint="eastAsia" w:ascii="等线" w:hAnsi="等线" w:eastAsia="等线" w:cs="宋体"/>
          <w:b/>
          <w:bCs/>
          <w:color w:val="000000"/>
          <w:kern w:val="0"/>
          <w:sz w:val="24"/>
          <w:szCs w:val="24"/>
          <w:lang w:bidi="ar"/>
        </w:rPr>
        <w:t>金额</w:t>
      </w:r>
      <w:r>
        <w:rPr>
          <w:rFonts w:hint="eastAsia" w:ascii="等线" w:hAnsi="等线" w:eastAsia="等线" w:cs="宋体"/>
          <w:b/>
          <w:bCs/>
          <w:color w:val="000000"/>
          <w:kern w:val="0"/>
          <w:sz w:val="24"/>
          <w:szCs w:val="24"/>
          <w:lang w:val="en-GB" w:bidi="ar"/>
        </w:rPr>
        <w:t>单位：万元）</w:t>
      </w:r>
    </w:p>
    <w:bookmarkEnd w:id="0"/>
    <w:tbl>
      <w:tblPr>
        <w:tblStyle w:val="13"/>
        <w:tblW w:w="1618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01"/>
        <w:gridCol w:w="1515"/>
        <w:gridCol w:w="884"/>
        <w:gridCol w:w="871"/>
        <w:gridCol w:w="871"/>
        <w:gridCol w:w="871"/>
        <w:gridCol w:w="871"/>
        <w:gridCol w:w="872"/>
        <w:gridCol w:w="872"/>
        <w:gridCol w:w="872"/>
        <w:gridCol w:w="872"/>
        <w:gridCol w:w="872"/>
        <w:gridCol w:w="872"/>
        <w:gridCol w:w="872"/>
        <w:gridCol w:w="872"/>
        <w:gridCol w:w="872"/>
        <w:gridCol w:w="872"/>
        <w:gridCol w:w="884"/>
      </w:tblGrid>
      <w:tr w14:paraId="421A9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jc w:val="center"/>
        </w:trPr>
        <w:tc>
          <w:tcPr>
            <w:tcW w:w="7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0E80B8">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序号</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C15052">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项目</w:t>
            </w: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E245E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2026</w:t>
            </w:r>
            <w:r>
              <w:rPr>
                <w:rFonts w:hint="eastAsia" w:ascii="Times New Roman" w:hAnsi="Times New Roman" w:eastAsia="宋体" w:cs="Times New Roman"/>
                <w:color w:val="000000"/>
                <w:kern w:val="0"/>
                <w:sz w:val="20"/>
                <w:szCs w:val="20"/>
                <w:lang w:val="en-US" w:eastAsia="zh-CN" w:bidi="ar"/>
              </w:rPr>
              <w:t>年</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C61D01">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2027</w:t>
            </w:r>
            <w:r>
              <w:rPr>
                <w:rFonts w:hint="eastAsia" w:ascii="Times New Roman" w:hAnsi="Times New Roman" w:eastAsia="宋体" w:cs="Times New Roman"/>
                <w:color w:val="000000"/>
                <w:kern w:val="0"/>
                <w:sz w:val="20"/>
                <w:szCs w:val="20"/>
                <w:lang w:val="en-US" w:eastAsia="zh-CN" w:bidi="ar"/>
              </w:rPr>
              <w:t>年</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EA581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2028</w:t>
            </w:r>
            <w:r>
              <w:rPr>
                <w:rFonts w:hint="eastAsia" w:ascii="Times New Roman" w:hAnsi="Times New Roman" w:eastAsia="宋体" w:cs="Times New Roman"/>
                <w:color w:val="000000"/>
                <w:kern w:val="0"/>
                <w:sz w:val="20"/>
                <w:szCs w:val="20"/>
                <w:lang w:val="en-US" w:eastAsia="zh-CN" w:bidi="ar"/>
              </w:rPr>
              <w:t>年</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33AA8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2029</w:t>
            </w:r>
            <w:r>
              <w:rPr>
                <w:rFonts w:hint="eastAsia" w:ascii="Times New Roman" w:hAnsi="Times New Roman" w:eastAsia="宋体" w:cs="Times New Roman"/>
                <w:color w:val="000000"/>
                <w:kern w:val="0"/>
                <w:sz w:val="20"/>
                <w:szCs w:val="20"/>
                <w:lang w:val="en-US" w:eastAsia="zh-CN" w:bidi="ar"/>
              </w:rPr>
              <w:t>年</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188CDD">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2030</w:t>
            </w:r>
            <w:r>
              <w:rPr>
                <w:rFonts w:hint="eastAsia" w:ascii="Times New Roman" w:hAnsi="Times New Roman" w:eastAsia="宋体" w:cs="Times New Roman"/>
                <w:color w:val="000000"/>
                <w:kern w:val="0"/>
                <w:sz w:val="20"/>
                <w:szCs w:val="20"/>
                <w:lang w:val="en-US" w:eastAsia="zh-CN" w:bidi="ar"/>
              </w:rPr>
              <w:t>年</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0AD73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2031</w:t>
            </w:r>
            <w:r>
              <w:rPr>
                <w:rFonts w:hint="eastAsia" w:ascii="Times New Roman" w:hAnsi="Times New Roman" w:eastAsia="宋体" w:cs="Times New Roman"/>
                <w:color w:val="000000"/>
                <w:kern w:val="0"/>
                <w:sz w:val="20"/>
                <w:szCs w:val="20"/>
                <w:lang w:val="en-US" w:eastAsia="zh-CN" w:bidi="ar"/>
              </w:rPr>
              <w:t>年</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5887C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2032</w:t>
            </w:r>
            <w:r>
              <w:rPr>
                <w:rFonts w:hint="eastAsia" w:ascii="Times New Roman" w:hAnsi="Times New Roman" w:eastAsia="宋体" w:cs="Times New Roman"/>
                <w:color w:val="000000"/>
                <w:kern w:val="0"/>
                <w:sz w:val="20"/>
                <w:szCs w:val="20"/>
                <w:lang w:val="en-US" w:eastAsia="zh-CN" w:bidi="ar"/>
              </w:rPr>
              <w:t>年</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23888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2033</w:t>
            </w:r>
            <w:r>
              <w:rPr>
                <w:rFonts w:hint="eastAsia" w:ascii="Times New Roman" w:hAnsi="Times New Roman" w:eastAsia="宋体" w:cs="Times New Roman"/>
                <w:color w:val="000000"/>
                <w:kern w:val="0"/>
                <w:sz w:val="20"/>
                <w:szCs w:val="20"/>
                <w:lang w:val="en-US" w:eastAsia="zh-CN" w:bidi="ar"/>
              </w:rPr>
              <w:t>年</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736D7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2034</w:t>
            </w:r>
            <w:r>
              <w:rPr>
                <w:rFonts w:hint="eastAsia" w:ascii="Times New Roman" w:hAnsi="Times New Roman" w:eastAsia="宋体" w:cs="Times New Roman"/>
                <w:color w:val="000000"/>
                <w:kern w:val="0"/>
                <w:sz w:val="20"/>
                <w:szCs w:val="20"/>
                <w:lang w:val="en-US" w:eastAsia="zh-CN" w:bidi="ar"/>
              </w:rPr>
              <w:t>年</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79CDC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2035</w:t>
            </w:r>
            <w:r>
              <w:rPr>
                <w:rFonts w:hint="eastAsia" w:ascii="Times New Roman" w:hAnsi="Times New Roman" w:eastAsia="宋体" w:cs="Times New Roman"/>
                <w:color w:val="000000"/>
                <w:kern w:val="0"/>
                <w:sz w:val="20"/>
                <w:szCs w:val="20"/>
                <w:lang w:val="en-US" w:eastAsia="zh-CN" w:bidi="ar"/>
              </w:rPr>
              <w:t>年</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26E1A1">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2036</w:t>
            </w:r>
            <w:r>
              <w:rPr>
                <w:rFonts w:hint="eastAsia" w:ascii="Times New Roman" w:hAnsi="Times New Roman" w:eastAsia="宋体" w:cs="Times New Roman"/>
                <w:color w:val="000000"/>
                <w:kern w:val="0"/>
                <w:sz w:val="20"/>
                <w:szCs w:val="20"/>
                <w:lang w:val="en-US" w:eastAsia="zh-CN" w:bidi="ar"/>
              </w:rPr>
              <w:t>年</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AC872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2037</w:t>
            </w:r>
            <w:r>
              <w:rPr>
                <w:rFonts w:hint="eastAsia" w:ascii="Times New Roman" w:hAnsi="Times New Roman" w:eastAsia="宋体" w:cs="Times New Roman"/>
                <w:color w:val="000000"/>
                <w:kern w:val="0"/>
                <w:sz w:val="20"/>
                <w:szCs w:val="20"/>
                <w:lang w:val="en-US" w:eastAsia="zh-CN" w:bidi="ar"/>
              </w:rPr>
              <w:t>年</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E500D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2038</w:t>
            </w:r>
            <w:r>
              <w:rPr>
                <w:rFonts w:hint="eastAsia" w:ascii="Times New Roman" w:hAnsi="Times New Roman" w:eastAsia="宋体" w:cs="Times New Roman"/>
                <w:color w:val="000000"/>
                <w:kern w:val="0"/>
                <w:sz w:val="20"/>
                <w:szCs w:val="20"/>
                <w:lang w:val="en-US" w:eastAsia="zh-CN" w:bidi="ar"/>
              </w:rPr>
              <w:t>年</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094CF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2039</w:t>
            </w:r>
            <w:r>
              <w:rPr>
                <w:rFonts w:hint="eastAsia" w:ascii="Times New Roman" w:hAnsi="Times New Roman" w:eastAsia="宋体" w:cs="Times New Roman"/>
                <w:color w:val="000000"/>
                <w:kern w:val="0"/>
                <w:sz w:val="20"/>
                <w:szCs w:val="20"/>
                <w:lang w:val="en-US" w:eastAsia="zh-CN" w:bidi="ar"/>
              </w:rPr>
              <w:t>年</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F42D0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2040</w:t>
            </w:r>
            <w:r>
              <w:rPr>
                <w:rFonts w:hint="eastAsia" w:ascii="Times New Roman" w:hAnsi="Times New Roman" w:eastAsia="宋体" w:cs="Times New Roman"/>
                <w:color w:val="000000"/>
                <w:kern w:val="0"/>
                <w:sz w:val="20"/>
                <w:szCs w:val="20"/>
                <w:lang w:val="en-US" w:eastAsia="zh-CN" w:bidi="ar"/>
              </w:rPr>
              <w:t>年</w:t>
            </w: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D7FDB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2041</w:t>
            </w:r>
            <w:r>
              <w:rPr>
                <w:rFonts w:hint="eastAsia" w:ascii="Times New Roman" w:hAnsi="Times New Roman" w:eastAsia="宋体" w:cs="Times New Roman"/>
                <w:color w:val="000000"/>
                <w:kern w:val="0"/>
                <w:sz w:val="20"/>
                <w:szCs w:val="20"/>
                <w:lang w:val="en-US" w:eastAsia="zh-CN" w:bidi="ar"/>
              </w:rPr>
              <w:t>年</w:t>
            </w:r>
          </w:p>
        </w:tc>
      </w:tr>
      <w:tr w14:paraId="01812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5" w:hRule="atLeast"/>
          <w:jc w:val="center"/>
        </w:trPr>
        <w:tc>
          <w:tcPr>
            <w:tcW w:w="7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0B55DA">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一</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8AA1BE">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资金来源</w:t>
            </w: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7241C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5517.92</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157CD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166.00</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476E2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186.75</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F6B1ED">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197.13</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A9A04D">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197.13</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412E0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198.27</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C6E08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198.27</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025B2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198.27</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CDE37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198.27</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422C9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198.27</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77594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199.42</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3223C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199.42</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CAFB5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199.42</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C9001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199.42</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C77F6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199.42</w:t>
            </w: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2D3B1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200.58</w:t>
            </w:r>
          </w:p>
        </w:tc>
      </w:tr>
      <w:tr w14:paraId="564BA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5" w:hRule="atLeast"/>
          <w:jc w:val="center"/>
        </w:trPr>
        <w:tc>
          <w:tcPr>
            <w:tcW w:w="7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7C5A7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180E89">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自有资金</w:t>
            </w: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20D02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3617.92</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38C91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F57FA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48B1B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DC7EB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5C1F7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27637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8459B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58E9C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D5A99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A820A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60100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F45C0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F0385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3A1CA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2E758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r>
      <w:tr w14:paraId="20A56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7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4C8F6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D8784E">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营业收入</w:t>
            </w: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CF759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4180D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166.00</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87456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186.75</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80B8A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197.13</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747B8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197.13</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BA7D9D">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198.27</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E4069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198.27</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3ADBF1">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198.27</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B72921">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198.27</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2BA46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198.27</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5BD80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199.42</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E8172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199.42</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0725C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199.42</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B6736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199.42</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36CFA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199.42</w:t>
            </w: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DBFDDD">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200.58</w:t>
            </w:r>
          </w:p>
        </w:tc>
      </w:tr>
      <w:tr w14:paraId="29EEE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7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BA6F1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3</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26D14F">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财政资金</w:t>
            </w: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7B8FB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3F0DD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B25BE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77CFD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A2BB0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1E78F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6C7B4D">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E884C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DD1AC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7EC8D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9E6F2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BE935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0E092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A1260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86B29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7E13A1">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r>
      <w:tr w14:paraId="5D9E9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5" w:hRule="atLeast"/>
          <w:jc w:val="center"/>
        </w:trPr>
        <w:tc>
          <w:tcPr>
            <w:tcW w:w="7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387A8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4C7CF4">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融资流入</w:t>
            </w: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BCB33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1900.00</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C9688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5CB5A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979301">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1CEFDD">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446B5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DDA6F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0D71A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1140C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23D94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153F5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79091D">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97988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90C85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4DB97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DD0B6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r>
      <w:tr w14:paraId="6BE41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7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EF410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5</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D1E711">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其他流入</w:t>
            </w: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267A8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9F598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B0CC6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4BF01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616A9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F2BB8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2B8BD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54162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F73BE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EE5C0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CE5491">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9E338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D5461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A9E20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FE12D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D2253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r>
      <w:tr w14:paraId="55320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7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27A6EA">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二</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FA4943">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资金运用</w:t>
            </w: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57DC6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5517.92</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BB763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121.02</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92AC8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123.35</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C9AFD1">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124.75</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F01BA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125.27</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F7C6E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125.96</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829CA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126.49</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EC5F3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127.01</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C634E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127.55</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FABE6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128.09</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A0E23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128.82</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7F961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129.36</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6A8E9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129.93</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BF304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130.49</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42027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131.04</w:t>
            </w: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773AB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131.81</w:t>
            </w:r>
          </w:p>
        </w:tc>
      </w:tr>
      <w:tr w14:paraId="28CFE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7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F30B8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7C7B5E">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项目投资</w:t>
            </w: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9F39D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5517.92</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9D532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2999E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4F178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ABB30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4CF91D">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54C1F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E5667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680EE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C3E41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4B585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2C0B5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84CAA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EC3871">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3B2BA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BBD4C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r>
      <w:tr w14:paraId="7AD68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7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40017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1.1</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5C7B1D">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建设投资</w:t>
            </w: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E5ADC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5474.22</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8AC5D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FDB5F1">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B22BDD">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F98B1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0DBE1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DE568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D9C0C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7CFC7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845EB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C3D7D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E70DD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84C3B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23AE4D">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BD683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DBB93D">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r>
      <w:tr w14:paraId="22B3F9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5" w:hRule="atLeast"/>
          <w:jc w:val="center"/>
        </w:trPr>
        <w:tc>
          <w:tcPr>
            <w:tcW w:w="7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A0AED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1.2</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22E43D">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建设期利息</w:t>
            </w: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E6EB6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41.80</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9C40F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946B91">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1B8FA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FAA03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F7243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EE62A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61D26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EF5B2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21507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35D48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0C7DE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155E5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12327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4C880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9CC1A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r>
      <w:tr w14:paraId="5634A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7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DD846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1.3</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E76A80">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发行费用</w:t>
            </w: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7A8A1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1.90</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83731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1EF25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DF4C4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DD054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1683A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14015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BC938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0087D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5588E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F8CD1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CCB63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012C6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043A5D">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712EC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B2C62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r>
      <w:tr w14:paraId="54B60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7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3C26F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AB0708">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运营成本</w:t>
            </w: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2D7CB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27B1B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79.22</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1DF02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81.55</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E42D8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82.95</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323E8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83.47</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9B0D21">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84.16</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1A937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84.69</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382B2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85.21</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F8C2B1">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85.75</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6E2521">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86.29</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D4B67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87.02</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8B590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87.56</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6E5D6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88.13</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6A026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88.69</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66BAE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89.24</w:t>
            </w: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DB2051">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90.01</w:t>
            </w:r>
          </w:p>
        </w:tc>
      </w:tr>
      <w:tr w14:paraId="11F04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7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BE432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2.1</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E1E36D">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销售税费</w:t>
            </w: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C407B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914C7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7.24</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F61E71">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8.26</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20C2D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8.76</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D30EA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8.76</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D7971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8.85</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FD0E6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8.85</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8449D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8.85</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5753F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8.85</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13EE8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8.85</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D3211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8.95</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3D7DC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8.95</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1AF66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8.95</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6024C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8.95</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6EEBE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8.95</w:t>
            </w: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26EAA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9.05</w:t>
            </w:r>
          </w:p>
        </w:tc>
      </w:tr>
      <w:tr w14:paraId="30E34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7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BCCF5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2.2</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D90011">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经营成本</w:t>
            </w: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8F885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A4464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71.98</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827D3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73.29</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93192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74.19</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52E67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74.71</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3A6B61">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75.31</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A69A0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75.84</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1EC4D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76.36</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A85BD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76.90</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C1FFB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77.44</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C31CD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78.07</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3BEAF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78.61</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DB75E1">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79.18</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BACEE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79.74</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E1068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80.29</w:t>
            </w: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C3D83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80.96</w:t>
            </w:r>
          </w:p>
        </w:tc>
      </w:tr>
      <w:tr w14:paraId="03684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7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77DB9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3</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EE33C8">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所得税</w:t>
            </w: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CC926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360FA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9A2A0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546D2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388D7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B9107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40D9D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D6F3A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593E9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D03AD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6DAA4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156B7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3FF99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2D1CF1">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99EF7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EA590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r>
      <w:tr w14:paraId="24F83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7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803F6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32F832">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偿还本金</w:t>
            </w: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4459D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B2578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9780E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ABEB7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5F263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12ED8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2A141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01968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77E5B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743CA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095C9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0788C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E3C46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21708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6DBF8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B200E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r>
      <w:tr w14:paraId="401D3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7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E8BADD">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5</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512D13">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支付利息</w:t>
            </w: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A2FCD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F9D6B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41.80</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8825B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41.80</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A8893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41.80</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5FE1C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41.80</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3787D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41.80</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552A3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41.80</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A81BF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41.80</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0DF25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41.80</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EDCC9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41.80</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D10B8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41.80</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203B6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41.80</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B2DDE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41.80</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57D82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41.80</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6CDEE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41.80</w:t>
            </w: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559BC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41.80</w:t>
            </w:r>
          </w:p>
        </w:tc>
      </w:tr>
      <w:tr w14:paraId="0ACA8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7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758797">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三</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BEAE47">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盈余资金</w:t>
            </w: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34FD0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22B4E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44.98</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AE563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63.40</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CEF56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72.38</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09962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71.86</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D6C18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72.31</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87D33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71.78</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6205F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71.26</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2A4081">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70.72</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C12F3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70.18</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438FF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70.60</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4249D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70.06</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86904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69.49</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AB381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68.93</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8D6A8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68.38</w:t>
            </w: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E2432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68.77</w:t>
            </w:r>
          </w:p>
        </w:tc>
      </w:tr>
      <w:tr w14:paraId="444E3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7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53AB0E">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四</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91BF8E">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累计盈余资金</w:t>
            </w: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67F42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0A316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44.98</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D577B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108.38</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D9AEBD">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180.76</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44CDC1">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252.62</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4AFCD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324.93</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7972C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396.71</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A23B6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467.97</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A4B6C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538.69</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A7E4D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608.87</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06D2B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679.47</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8743D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749.53</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1CEE3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819.02</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C52A8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887.95</w:t>
            </w:r>
          </w:p>
        </w:tc>
        <w:tc>
          <w:tcPr>
            <w:tcW w:w="8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5B9A4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956.33</w:t>
            </w:r>
          </w:p>
        </w:tc>
        <w:tc>
          <w:tcPr>
            <w:tcW w:w="8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101E2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1025.10</w:t>
            </w:r>
          </w:p>
        </w:tc>
      </w:tr>
    </w:tbl>
    <w:p w14:paraId="5ED9CAEB">
      <w:pPr>
        <w:spacing w:after="80" w:line="240" w:lineRule="auto"/>
        <w:ind w:firstLine="240" w:firstLineChars="100"/>
        <w:rPr>
          <w:rFonts w:hint="eastAsia" w:ascii="等线" w:hAnsi="等线" w:eastAsia="等线" w:cs="宋体"/>
          <w:b/>
          <w:bCs/>
          <w:color w:val="000000"/>
          <w:kern w:val="0"/>
          <w:sz w:val="24"/>
          <w:szCs w:val="24"/>
          <w:lang w:val="en-US" w:eastAsia="zh-CN" w:bidi="ar"/>
        </w:rPr>
        <w:sectPr>
          <w:pgSz w:w="16838" w:h="11906"/>
          <w:pgMar w:top="1440" w:right="1803" w:bottom="1440" w:left="1803" w:header="851" w:footer="992" w:gutter="0"/>
          <w:cols w:space="425" w:num="1"/>
          <w:docGrid w:type="lines" w:linePitch="435" w:charSpace="0"/>
        </w:sectPr>
      </w:pPr>
    </w:p>
    <w:p w14:paraId="496E3A28">
      <w:pPr>
        <w:spacing w:after="80" w:line="240" w:lineRule="auto"/>
        <w:ind w:firstLine="240" w:firstLineChars="100"/>
        <w:rPr>
          <w:rFonts w:hint="eastAsia" w:ascii="等线" w:hAnsi="等线" w:eastAsia="等线" w:cs="宋体"/>
          <w:b/>
          <w:bCs/>
          <w:color w:val="000000"/>
          <w:kern w:val="0"/>
          <w:sz w:val="24"/>
          <w:szCs w:val="24"/>
          <w:lang w:val="en-GB" w:bidi="ar"/>
        </w:rPr>
      </w:pPr>
      <w:r>
        <w:rPr>
          <w:rFonts w:hint="eastAsia" w:ascii="等线" w:hAnsi="等线" w:eastAsia="等线" w:cs="宋体"/>
          <w:b/>
          <w:bCs/>
          <w:color w:val="000000"/>
          <w:kern w:val="0"/>
          <w:sz w:val="24"/>
          <w:szCs w:val="24"/>
          <w:lang w:val="en-US" w:eastAsia="zh-CN" w:bidi="ar"/>
        </w:rPr>
        <w:t>续</w:t>
      </w:r>
      <w:r>
        <w:rPr>
          <w:rFonts w:hint="eastAsia" w:ascii="等线" w:hAnsi="等线" w:eastAsia="等线" w:cs="宋体"/>
          <w:b/>
          <w:bCs/>
          <w:color w:val="000000"/>
          <w:kern w:val="0"/>
          <w:sz w:val="24"/>
          <w:szCs w:val="24"/>
          <w:lang w:val="en-GB" w:bidi="ar"/>
        </w:rPr>
        <w:t>表</w:t>
      </w:r>
      <w:r>
        <w:rPr>
          <w:rFonts w:hint="eastAsia" w:ascii="等线" w:hAnsi="等线" w:eastAsia="等线" w:cs="宋体"/>
          <w:b/>
          <w:bCs/>
          <w:color w:val="000000"/>
          <w:kern w:val="0"/>
          <w:sz w:val="24"/>
          <w:szCs w:val="24"/>
          <w:lang w:val="en-US" w:eastAsia="zh-CN" w:bidi="ar"/>
        </w:rPr>
        <w:t>3</w:t>
      </w:r>
      <w:r>
        <w:rPr>
          <w:rFonts w:hint="eastAsia" w:ascii="等线" w:hAnsi="等线" w:eastAsia="等线" w:cs="宋体"/>
          <w:b/>
          <w:bCs/>
          <w:color w:val="000000"/>
          <w:kern w:val="0"/>
          <w:sz w:val="24"/>
          <w:szCs w:val="24"/>
          <w:lang w:val="en-GB" w:bidi="ar"/>
        </w:rPr>
        <w:t>-</w:t>
      </w:r>
      <w:r>
        <w:rPr>
          <w:rFonts w:hint="eastAsia" w:ascii="等线" w:hAnsi="等线" w:eastAsia="等线" w:cs="宋体"/>
          <w:b/>
          <w:bCs/>
          <w:color w:val="000000"/>
          <w:kern w:val="0"/>
          <w:sz w:val="24"/>
          <w:szCs w:val="24"/>
          <w:lang w:val="en-US" w:eastAsia="zh-CN" w:bidi="ar"/>
        </w:rPr>
        <w:t>1</w:t>
      </w:r>
      <w:r>
        <w:rPr>
          <w:rFonts w:hint="eastAsia" w:ascii="等线" w:hAnsi="等线" w:eastAsia="等线" w:cs="宋体"/>
          <w:b/>
          <w:bCs/>
          <w:color w:val="000000"/>
          <w:kern w:val="0"/>
          <w:sz w:val="24"/>
          <w:szCs w:val="24"/>
          <w:lang w:val="en-GB" w:bidi="ar"/>
        </w:rPr>
        <w:t>：</w:t>
      </w:r>
      <w:r>
        <w:rPr>
          <w:rFonts w:hint="eastAsia" w:ascii="等线" w:hAnsi="等线" w:eastAsia="等线" w:cs="宋体"/>
          <w:b/>
          <w:bCs/>
          <w:color w:val="000000"/>
          <w:kern w:val="0"/>
          <w:sz w:val="24"/>
          <w:szCs w:val="24"/>
          <w:lang w:bidi="ar"/>
        </w:rPr>
        <w:t xml:space="preserve">                 </w:t>
      </w:r>
      <w:r>
        <w:rPr>
          <w:rFonts w:hint="eastAsia" w:ascii="等线" w:hAnsi="等线" w:eastAsia="等线" w:cs="宋体"/>
          <w:b/>
          <w:bCs/>
          <w:color w:val="000000"/>
          <w:kern w:val="0"/>
          <w:sz w:val="24"/>
          <w:szCs w:val="24"/>
          <w:lang w:val="en-US" w:eastAsia="zh-CN" w:bidi="ar"/>
        </w:rPr>
        <w:t xml:space="preserve">  </w:t>
      </w:r>
      <w:r>
        <w:rPr>
          <w:rFonts w:hint="eastAsia" w:ascii="等线" w:hAnsi="等线" w:eastAsia="等线" w:cs="宋体"/>
          <w:b/>
          <w:bCs/>
          <w:color w:val="000000"/>
          <w:kern w:val="0"/>
          <w:sz w:val="24"/>
          <w:szCs w:val="24"/>
          <w:lang w:bidi="ar"/>
        </w:rPr>
        <w:t xml:space="preserve">  </w:t>
      </w:r>
      <w:r>
        <w:rPr>
          <w:rFonts w:hint="eastAsia" w:ascii="等线" w:hAnsi="等线" w:eastAsia="等线" w:cs="宋体"/>
          <w:b/>
          <w:bCs/>
          <w:color w:val="000000"/>
          <w:kern w:val="0"/>
          <w:sz w:val="24"/>
          <w:szCs w:val="24"/>
          <w:lang w:val="en-US" w:eastAsia="zh-CN" w:bidi="ar"/>
        </w:rPr>
        <w:t xml:space="preserve">         </w:t>
      </w:r>
      <w:r>
        <w:rPr>
          <w:rFonts w:hint="eastAsia" w:ascii="等线" w:hAnsi="等线" w:eastAsia="等线" w:cs="宋体"/>
          <w:b/>
          <w:bCs/>
          <w:color w:val="000000"/>
          <w:kern w:val="0"/>
          <w:sz w:val="24"/>
          <w:szCs w:val="24"/>
          <w:lang w:bidi="ar"/>
        </w:rPr>
        <w:t xml:space="preserve">   </w:t>
      </w:r>
      <w:r>
        <w:rPr>
          <w:rFonts w:hint="eastAsia" w:ascii="等线" w:hAnsi="等线" w:eastAsia="等线" w:cs="宋体"/>
          <w:b/>
          <w:bCs/>
          <w:color w:val="000000"/>
          <w:kern w:val="0"/>
          <w:sz w:val="24"/>
          <w:szCs w:val="24"/>
          <w:lang w:val="en-GB" w:bidi="ar"/>
        </w:rPr>
        <w:t>项目资金测算平衡表</w:t>
      </w:r>
      <w:r>
        <w:rPr>
          <w:rFonts w:hint="eastAsia" w:ascii="等线" w:hAnsi="等线" w:eastAsia="等线" w:cs="宋体"/>
          <w:b/>
          <w:bCs/>
          <w:color w:val="000000"/>
          <w:kern w:val="0"/>
          <w:sz w:val="24"/>
          <w:szCs w:val="24"/>
          <w:lang w:val="en-US" w:eastAsia="zh-CN" w:bidi="ar"/>
        </w:rPr>
        <w:t xml:space="preserve"> </w:t>
      </w:r>
      <w:r>
        <w:rPr>
          <w:rFonts w:hint="eastAsia" w:ascii="等线" w:hAnsi="等线" w:eastAsia="等线" w:cs="宋体"/>
          <w:b/>
          <w:bCs/>
          <w:color w:val="000000"/>
          <w:kern w:val="0"/>
          <w:sz w:val="24"/>
          <w:szCs w:val="24"/>
          <w:lang w:bidi="ar"/>
        </w:rPr>
        <w:t xml:space="preserve">               </w:t>
      </w:r>
      <w:r>
        <w:rPr>
          <w:rFonts w:hint="eastAsia" w:ascii="等线" w:hAnsi="等线" w:eastAsia="等线" w:cs="宋体"/>
          <w:b/>
          <w:bCs/>
          <w:color w:val="000000"/>
          <w:kern w:val="0"/>
          <w:sz w:val="24"/>
          <w:szCs w:val="24"/>
          <w:lang w:val="en-US" w:eastAsia="zh-CN" w:bidi="ar"/>
        </w:rPr>
        <w:t xml:space="preserve">         </w:t>
      </w:r>
      <w:r>
        <w:rPr>
          <w:rFonts w:hint="eastAsia" w:ascii="等线" w:hAnsi="等线" w:eastAsia="等线" w:cs="宋体"/>
          <w:b/>
          <w:bCs/>
          <w:color w:val="000000"/>
          <w:kern w:val="0"/>
          <w:sz w:val="24"/>
          <w:szCs w:val="24"/>
          <w:lang w:bidi="ar"/>
        </w:rPr>
        <w:t xml:space="preserve">   </w:t>
      </w:r>
      <w:r>
        <w:rPr>
          <w:rFonts w:hint="eastAsia" w:ascii="等线" w:hAnsi="等线" w:eastAsia="等线" w:cs="宋体"/>
          <w:b/>
          <w:bCs/>
          <w:color w:val="000000"/>
          <w:kern w:val="0"/>
          <w:sz w:val="24"/>
          <w:szCs w:val="24"/>
          <w:lang w:val="en-GB" w:bidi="ar"/>
        </w:rPr>
        <w:t>（</w:t>
      </w:r>
      <w:r>
        <w:rPr>
          <w:rFonts w:hint="eastAsia" w:ascii="等线" w:hAnsi="等线" w:eastAsia="等线" w:cs="宋体"/>
          <w:b/>
          <w:bCs/>
          <w:color w:val="000000"/>
          <w:kern w:val="0"/>
          <w:sz w:val="24"/>
          <w:szCs w:val="24"/>
          <w:lang w:bidi="ar"/>
        </w:rPr>
        <w:t>金额</w:t>
      </w:r>
      <w:r>
        <w:rPr>
          <w:rFonts w:hint="eastAsia" w:ascii="等线" w:hAnsi="等线" w:eastAsia="等线" w:cs="宋体"/>
          <w:b/>
          <w:bCs/>
          <w:color w:val="000000"/>
          <w:kern w:val="0"/>
          <w:sz w:val="24"/>
          <w:szCs w:val="24"/>
          <w:lang w:val="en-GB" w:bidi="ar"/>
        </w:rPr>
        <w:t>单位：万元）</w:t>
      </w:r>
    </w:p>
    <w:tbl>
      <w:tblPr>
        <w:tblStyle w:val="13"/>
        <w:tblW w:w="1613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7"/>
        <w:gridCol w:w="1444"/>
        <w:gridCol w:w="869"/>
        <w:gridCol w:w="869"/>
        <w:gridCol w:w="869"/>
        <w:gridCol w:w="869"/>
        <w:gridCol w:w="869"/>
        <w:gridCol w:w="869"/>
        <w:gridCol w:w="869"/>
        <w:gridCol w:w="869"/>
        <w:gridCol w:w="869"/>
        <w:gridCol w:w="869"/>
        <w:gridCol w:w="869"/>
        <w:gridCol w:w="869"/>
        <w:gridCol w:w="869"/>
        <w:gridCol w:w="869"/>
        <w:gridCol w:w="869"/>
        <w:gridCol w:w="967"/>
      </w:tblGrid>
      <w:tr w14:paraId="7B8B1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6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B58AAF">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序号</w:t>
            </w:r>
          </w:p>
        </w:tc>
        <w:tc>
          <w:tcPr>
            <w:tcW w:w="14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BA2AE1">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项目</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9E378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2042</w:t>
            </w:r>
            <w:r>
              <w:rPr>
                <w:rFonts w:hint="eastAsia" w:ascii="Times New Roman" w:hAnsi="Times New Roman" w:eastAsia="宋体" w:cs="Times New Roman"/>
                <w:color w:val="000000"/>
                <w:kern w:val="0"/>
                <w:sz w:val="20"/>
                <w:szCs w:val="20"/>
                <w:lang w:val="en-US" w:eastAsia="zh-CN" w:bidi="ar"/>
              </w:rPr>
              <w:t>年</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F35CE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2043</w:t>
            </w:r>
            <w:r>
              <w:rPr>
                <w:rFonts w:hint="eastAsia" w:ascii="Times New Roman" w:hAnsi="Times New Roman" w:eastAsia="宋体" w:cs="Times New Roman"/>
                <w:color w:val="000000"/>
                <w:kern w:val="0"/>
                <w:sz w:val="20"/>
                <w:szCs w:val="20"/>
                <w:lang w:val="en-US" w:eastAsia="zh-CN" w:bidi="ar"/>
              </w:rPr>
              <w:t>年</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F6CA4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2044</w:t>
            </w:r>
            <w:r>
              <w:rPr>
                <w:rFonts w:hint="eastAsia" w:ascii="Times New Roman" w:hAnsi="Times New Roman" w:eastAsia="宋体" w:cs="Times New Roman"/>
                <w:color w:val="000000"/>
                <w:kern w:val="0"/>
                <w:sz w:val="20"/>
                <w:szCs w:val="20"/>
                <w:lang w:val="en-US" w:eastAsia="zh-CN" w:bidi="ar"/>
              </w:rPr>
              <w:t>年</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2997CD">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2045</w:t>
            </w:r>
            <w:r>
              <w:rPr>
                <w:rFonts w:hint="eastAsia" w:ascii="Times New Roman" w:hAnsi="Times New Roman" w:eastAsia="宋体" w:cs="Times New Roman"/>
                <w:color w:val="000000"/>
                <w:kern w:val="0"/>
                <w:sz w:val="20"/>
                <w:szCs w:val="20"/>
                <w:lang w:val="en-US" w:eastAsia="zh-CN" w:bidi="ar"/>
              </w:rPr>
              <w:t>年</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F3102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2046</w:t>
            </w:r>
            <w:r>
              <w:rPr>
                <w:rFonts w:hint="eastAsia" w:ascii="Times New Roman" w:hAnsi="Times New Roman" w:eastAsia="宋体" w:cs="Times New Roman"/>
                <w:color w:val="000000"/>
                <w:kern w:val="0"/>
                <w:sz w:val="20"/>
                <w:szCs w:val="20"/>
                <w:lang w:val="en-US" w:eastAsia="zh-CN" w:bidi="ar"/>
              </w:rPr>
              <w:t>年</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0D6B3D">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2047</w:t>
            </w:r>
            <w:r>
              <w:rPr>
                <w:rFonts w:hint="eastAsia" w:ascii="Times New Roman" w:hAnsi="Times New Roman" w:eastAsia="宋体" w:cs="Times New Roman"/>
                <w:color w:val="000000"/>
                <w:kern w:val="0"/>
                <w:sz w:val="20"/>
                <w:szCs w:val="20"/>
                <w:lang w:val="en-US" w:eastAsia="zh-CN" w:bidi="ar"/>
              </w:rPr>
              <w:t>年</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3709B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2048</w:t>
            </w:r>
            <w:r>
              <w:rPr>
                <w:rFonts w:hint="eastAsia" w:ascii="Times New Roman" w:hAnsi="Times New Roman" w:eastAsia="宋体" w:cs="Times New Roman"/>
                <w:color w:val="000000"/>
                <w:kern w:val="0"/>
                <w:sz w:val="20"/>
                <w:szCs w:val="20"/>
                <w:lang w:val="en-US" w:eastAsia="zh-CN" w:bidi="ar"/>
              </w:rPr>
              <w:t>年</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A2AD6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2049</w:t>
            </w:r>
            <w:r>
              <w:rPr>
                <w:rFonts w:hint="eastAsia" w:ascii="Times New Roman" w:hAnsi="Times New Roman" w:eastAsia="宋体" w:cs="Times New Roman"/>
                <w:color w:val="000000"/>
                <w:kern w:val="0"/>
                <w:sz w:val="20"/>
                <w:szCs w:val="20"/>
                <w:lang w:val="en-US" w:eastAsia="zh-CN" w:bidi="ar"/>
              </w:rPr>
              <w:t>年</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AD3D4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2050</w:t>
            </w:r>
            <w:r>
              <w:rPr>
                <w:rFonts w:hint="eastAsia" w:ascii="Times New Roman" w:hAnsi="Times New Roman" w:eastAsia="宋体" w:cs="Times New Roman"/>
                <w:color w:val="000000"/>
                <w:kern w:val="0"/>
                <w:sz w:val="20"/>
                <w:szCs w:val="20"/>
                <w:lang w:val="en-US" w:eastAsia="zh-CN" w:bidi="ar"/>
              </w:rPr>
              <w:t>年</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2CCF7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2051</w:t>
            </w:r>
            <w:r>
              <w:rPr>
                <w:rFonts w:hint="eastAsia" w:ascii="Times New Roman" w:hAnsi="Times New Roman" w:eastAsia="宋体" w:cs="Times New Roman"/>
                <w:color w:val="000000"/>
                <w:kern w:val="0"/>
                <w:sz w:val="20"/>
                <w:szCs w:val="20"/>
                <w:lang w:val="en-US" w:eastAsia="zh-CN" w:bidi="ar"/>
              </w:rPr>
              <w:t>年</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2F856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2052</w:t>
            </w:r>
            <w:r>
              <w:rPr>
                <w:rFonts w:hint="eastAsia" w:ascii="Times New Roman" w:hAnsi="Times New Roman" w:eastAsia="宋体" w:cs="Times New Roman"/>
                <w:color w:val="000000"/>
                <w:kern w:val="0"/>
                <w:sz w:val="20"/>
                <w:szCs w:val="20"/>
                <w:lang w:val="en-US" w:eastAsia="zh-CN" w:bidi="ar"/>
              </w:rPr>
              <w:t>年</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02A63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2053</w:t>
            </w:r>
            <w:r>
              <w:rPr>
                <w:rFonts w:hint="eastAsia" w:ascii="Times New Roman" w:hAnsi="Times New Roman" w:eastAsia="宋体" w:cs="Times New Roman"/>
                <w:color w:val="000000"/>
                <w:kern w:val="0"/>
                <w:sz w:val="20"/>
                <w:szCs w:val="20"/>
                <w:lang w:val="en-US" w:eastAsia="zh-CN" w:bidi="ar"/>
              </w:rPr>
              <w:t>年</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80EA3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2054</w:t>
            </w:r>
            <w:r>
              <w:rPr>
                <w:rFonts w:hint="eastAsia" w:ascii="Times New Roman" w:hAnsi="Times New Roman" w:eastAsia="宋体" w:cs="Times New Roman"/>
                <w:color w:val="000000"/>
                <w:kern w:val="0"/>
                <w:sz w:val="20"/>
                <w:szCs w:val="20"/>
                <w:lang w:val="en-US" w:eastAsia="zh-CN" w:bidi="ar"/>
              </w:rPr>
              <w:t>年</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55E3E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2055</w:t>
            </w:r>
            <w:r>
              <w:rPr>
                <w:rFonts w:hint="eastAsia" w:ascii="Times New Roman" w:hAnsi="Times New Roman" w:eastAsia="宋体" w:cs="Times New Roman"/>
                <w:color w:val="000000"/>
                <w:kern w:val="0"/>
                <w:sz w:val="20"/>
                <w:szCs w:val="20"/>
                <w:lang w:val="en-US" w:eastAsia="zh-CN" w:bidi="ar"/>
              </w:rPr>
              <w:t>年</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C1D28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2056</w:t>
            </w:r>
            <w:r>
              <w:rPr>
                <w:rFonts w:hint="eastAsia" w:ascii="Times New Roman" w:hAnsi="Times New Roman" w:eastAsia="宋体" w:cs="Times New Roman"/>
                <w:color w:val="000000"/>
                <w:kern w:val="0"/>
                <w:sz w:val="20"/>
                <w:szCs w:val="20"/>
                <w:lang w:val="en-US" w:eastAsia="zh-CN" w:bidi="ar"/>
              </w:rPr>
              <w:t>年</w:t>
            </w: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EAFB3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合计</w:t>
            </w:r>
          </w:p>
        </w:tc>
      </w:tr>
      <w:tr w14:paraId="5F474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7" w:hRule="atLeast"/>
          <w:jc w:val="center"/>
        </w:trPr>
        <w:tc>
          <w:tcPr>
            <w:tcW w:w="6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61FB67">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一</w:t>
            </w:r>
          </w:p>
        </w:tc>
        <w:tc>
          <w:tcPr>
            <w:tcW w:w="14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1E0955">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资金来源</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0BB96D">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200.58</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E1E9B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200.58</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9835A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200.58</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1BAA2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200.58</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89711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201.76</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96884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201.76</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236ADD">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201.76</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F980A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201.76</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57AEB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201.76</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B945E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202.95</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34C39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202.95</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EDD4E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202.95</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62C2A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202.95</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A7E05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202.95</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F51A3D">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204.14</w:t>
            </w: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CE170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11483.97</w:t>
            </w:r>
          </w:p>
        </w:tc>
      </w:tr>
      <w:tr w14:paraId="395C16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7" w:hRule="atLeast"/>
          <w:jc w:val="center"/>
        </w:trPr>
        <w:tc>
          <w:tcPr>
            <w:tcW w:w="6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76923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w:t>
            </w:r>
          </w:p>
        </w:tc>
        <w:tc>
          <w:tcPr>
            <w:tcW w:w="14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59E01A">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自有资金</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CEBAD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E39E0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C57B0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3EDEE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6FDE9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01983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22096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AB6A0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7CEFF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A88F5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9BD54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EA962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6529E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A1002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0845CD">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0B5C8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3617.92</w:t>
            </w:r>
          </w:p>
        </w:tc>
      </w:tr>
      <w:tr w14:paraId="3C474E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6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5BDFB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w:t>
            </w:r>
          </w:p>
        </w:tc>
        <w:tc>
          <w:tcPr>
            <w:tcW w:w="14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4D7AA2">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营业收入</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AEB57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200.58</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9091D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200.58</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54D82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200.58</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CC313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200.58</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BDC811">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201.76</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C67F1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201.76</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CD21C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201.76</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05867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201.76</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167F8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201.76</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EA35E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202.95</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BD366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202.95</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E465B1">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202.95</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783AA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202.95</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7E370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202.95</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70E19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204.14</w:t>
            </w: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3CF65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5966.05</w:t>
            </w:r>
          </w:p>
        </w:tc>
      </w:tr>
      <w:tr w14:paraId="33354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7" w:hRule="atLeast"/>
          <w:jc w:val="center"/>
        </w:trPr>
        <w:tc>
          <w:tcPr>
            <w:tcW w:w="6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B6E40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3</w:t>
            </w:r>
          </w:p>
        </w:tc>
        <w:tc>
          <w:tcPr>
            <w:tcW w:w="14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E982E3">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财政资金</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071CF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2323C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DBCF1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A96C5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1CDCF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E68F1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9C959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2FF62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F000D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BB91C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472F0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8E4DA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83911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BE840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4E8A8D">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CA153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r>
      <w:tr w14:paraId="65B7A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6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031A4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w:t>
            </w:r>
          </w:p>
        </w:tc>
        <w:tc>
          <w:tcPr>
            <w:tcW w:w="14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5F9F75">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融资流入</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412DC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231C3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A5C93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3CB51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6AF9E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2303D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2E541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9F821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7B5EF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E0483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D81FF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A97A0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8E8BA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F5E09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3F900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0D206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1900.00</w:t>
            </w:r>
          </w:p>
        </w:tc>
      </w:tr>
      <w:tr w14:paraId="795DE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6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148F3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5</w:t>
            </w:r>
          </w:p>
        </w:tc>
        <w:tc>
          <w:tcPr>
            <w:tcW w:w="14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CA8223">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其他流入</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2C45C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560D71">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A146C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883A3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9B7C5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E15B9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9C4CF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9A8E4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8D8D5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91717D">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BBB5F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5B0BCD">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07C1D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C8888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08B27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4A29C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r>
      <w:tr w14:paraId="63CC6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7" w:hRule="atLeast"/>
          <w:jc w:val="center"/>
        </w:trPr>
        <w:tc>
          <w:tcPr>
            <w:tcW w:w="6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3CF916">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二</w:t>
            </w:r>
          </w:p>
        </w:tc>
        <w:tc>
          <w:tcPr>
            <w:tcW w:w="14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9CD840">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资金运用</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7CF61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132.38</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12B97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132.98</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F87A5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133.56</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54308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134.18</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4C190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134.95</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A9837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135.56</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13FFB1">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136.19</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24262D">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136.82</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3FBE6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137.45</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00E70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138.25</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B1DCB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138.88</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F6D9B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139.53</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C9FB6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140.19</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EE6C41">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140.85</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D64B9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1999.90</w:t>
            </w: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C4BD0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11340.53</w:t>
            </w:r>
          </w:p>
        </w:tc>
      </w:tr>
      <w:tr w14:paraId="1243A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7" w:hRule="atLeast"/>
          <w:jc w:val="center"/>
        </w:trPr>
        <w:tc>
          <w:tcPr>
            <w:tcW w:w="6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FCBFF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w:t>
            </w:r>
          </w:p>
        </w:tc>
        <w:tc>
          <w:tcPr>
            <w:tcW w:w="14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3CAE2C">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项目投资</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3F5481">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42C24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9CE62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96D80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44B1F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AF774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C076F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57B73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281B4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30CB2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DBE93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EF3BF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F0B9C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02EC7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91DE8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BBFA5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5517.92</w:t>
            </w:r>
          </w:p>
        </w:tc>
      </w:tr>
      <w:tr w14:paraId="4FF6B5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6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1CFE7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1.1</w:t>
            </w:r>
          </w:p>
        </w:tc>
        <w:tc>
          <w:tcPr>
            <w:tcW w:w="14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2D464D">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建设投资</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6C017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60589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30648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95E27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2A2F6D">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4855A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F83F7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16C19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7326F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DED41D">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25308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11C07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F9CAC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75F36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3DACF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6DBF0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5474.22</w:t>
            </w:r>
          </w:p>
        </w:tc>
      </w:tr>
      <w:tr w14:paraId="54A6B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6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421E7D">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1.2</w:t>
            </w:r>
          </w:p>
        </w:tc>
        <w:tc>
          <w:tcPr>
            <w:tcW w:w="14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BDB407">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建设期利息</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AF6E6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E2B6B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7BEE6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26A93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05B50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537F5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526CB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3C304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EA9C6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A535D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A2BC6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C9F4A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9CF8BD">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2FE3C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A880D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12453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41.80</w:t>
            </w:r>
          </w:p>
        </w:tc>
      </w:tr>
      <w:tr w14:paraId="77DAE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6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58E64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1.3</w:t>
            </w:r>
          </w:p>
        </w:tc>
        <w:tc>
          <w:tcPr>
            <w:tcW w:w="14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8433F5">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发行费用</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73861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783B3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0315B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A0836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6A4D4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5784C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F03EC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65A5B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CEA30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B4208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9BA64D">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5B89B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3CD071">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32F20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DC90B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3966A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1.90</w:t>
            </w:r>
          </w:p>
        </w:tc>
      </w:tr>
      <w:tr w14:paraId="47F54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6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835FB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w:t>
            </w:r>
          </w:p>
        </w:tc>
        <w:tc>
          <w:tcPr>
            <w:tcW w:w="14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2EE3D8">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运营成本</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36397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90.58</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E3ACB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91.18</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4E6A2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91.76</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712F1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92.38</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3F849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93.15</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07370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93.76</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F33431">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94.39</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F5BC1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95.02</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53F2ED">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95.65</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B3DC5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96.45</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3FA40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97.08</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480A9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97.73</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4213E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98.39</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905A4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99.05</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2CCB9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99.90</w:t>
            </w: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F622D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2710.41</w:t>
            </w:r>
          </w:p>
        </w:tc>
      </w:tr>
      <w:tr w14:paraId="0608D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6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D53E5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2.1</w:t>
            </w:r>
          </w:p>
        </w:tc>
        <w:tc>
          <w:tcPr>
            <w:tcW w:w="14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5BD5D4">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销售税费</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3EAE2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9.05</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F87E4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9.05</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8FA2D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9.05</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ACF08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9.05</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DB42E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9.16</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9D584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9.16</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F043C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9.16</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9586D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9.16</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7CB48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9.16</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63871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9.25</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A5D0B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9.25</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F31A6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9.25</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1049F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9.25</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2AA5F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9.25</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BCF6F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9.36</w:t>
            </w: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34A19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268.68</w:t>
            </w:r>
          </w:p>
        </w:tc>
      </w:tr>
      <w:tr w14:paraId="5B9F0B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7" w:hRule="atLeast"/>
          <w:jc w:val="center"/>
        </w:trPr>
        <w:tc>
          <w:tcPr>
            <w:tcW w:w="6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5F009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2.2</w:t>
            </w:r>
          </w:p>
        </w:tc>
        <w:tc>
          <w:tcPr>
            <w:tcW w:w="14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639779">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经营成本</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941D3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81.53</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F3497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82.13</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AD510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82.71</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F5B18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83.33</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2F764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83.99</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D5A49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84.60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A4AA5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85.23</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D2B5A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85.86</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0B30C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86.49</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0F1A6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87.20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BE4FB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87.83</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0A408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88.48</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7BFB5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89.14</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45353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89.80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316B5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90.54</w:t>
            </w: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ED824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2441.73</w:t>
            </w:r>
          </w:p>
        </w:tc>
      </w:tr>
      <w:tr w14:paraId="67D98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6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E4926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3</w:t>
            </w:r>
          </w:p>
        </w:tc>
        <w:tc>
          <w:tcPr>
            <w:tcW w:w="14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BB66F6">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所得税</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6BCD3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491C0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2B12D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5094B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1DE40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7F242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50067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C2EAF1">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CD121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A400D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6BEE9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16935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DA757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F7234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84E16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2B247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r>
      <w:tr w14:paraId="72703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6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504DE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w:t>
            </w:r>
          </w:p>
        </w:tc>
        <w:tc>
          <w:tcPr>
            <w:tcW w:w="14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B74AC4">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偿还本金</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F70F3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E7596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F8774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21F95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2D752D">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0A8B9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1D19D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6A6A5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C02CC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7437C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8906F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3EBAE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47913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0FFA6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D7312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1900.00</w:t>
            </w: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6CBCB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1900.00</w:t>
            </w:r>
          </w:p>
        </w:tc>
      </w:tr>
      <w:tr w14:paraId="45A6F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6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470FB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5</w:t>
            </w:r>
          </w:p>
        </w:tc>
        <w:tc>
          <w:tcPr>
            <w:tcW w:w="14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D4DD67">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支付利息</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037ED0">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41.80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11B7A1">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41.80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1A650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41.80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636D0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41.80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BECA9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41.80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9EE67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41.80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D8C5F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41.80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A189F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41.80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6D9CAD">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41.80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702209">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41.80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0BEB9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41.80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78F2D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41.80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2E4B2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41.80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69232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41.80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35863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0.00</w:t>
            </w: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38BC5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1212.20</w:t>
            </w:r>
          </w:p>
        </w:tc>
      </w:tr>
      <w:tr w14:paraId="366BC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1" w:hRule="atLeast"/>
          <w:jc w:val="center"/>
        </w:trPr>
        <w:tc>
          <w:tcPr>
            <w:tcW w:w="6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68285C">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三</w:t>
            </w:r>
          </w:p>
        </w:tc>
        <w:tc>
          <w:tcPr>
            <w:tcW w:w="14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0C5EB0">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盈余资金</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0D7D1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68.20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B7DAB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67.60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64525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67.02</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555EB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66.40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566B83">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66.81</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67C1D8">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66.20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2C878C">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65.57</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C66461">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64.94</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EFA6E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64.31</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569E5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64.70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68096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64.07</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1C122B">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63.42</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832B2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62.76</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2EE63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62.10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BF390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-1795.76</w:t>
            </w: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0D7E4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143.44</w:t>
            </w:r>
          </w:p>
        </w:tc>
      </w:tr>
      <w:tr w14:paraId="26F7C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jc w:val="center"/>
        </w:trPr>
        <w:tc>
          <w:tcPr>
            <w:tcW w:w="6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4B7B30">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四</w:t>
            </w:r>
          </w:p>
        </w:tc>
        <w:tc>
          <w:tcPr>
            <w:tcW w:w="14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BFE7F0">
            <w:pPr>
              <w:widowControl/>
              <w:spacing w:line="240" w:lineRule="exact"/>
              <w:ind w:firstLine="0" w:firstLineChars="0"/>
              <w:jc w:val="center"/>
              <w:textAlignment w:val="center"/>
              <w:rPr>
                <w:rFonts w:hint="eastAsia" w:ascii="Times New Roman" w:hAnsi="Times New Roman" w:eastAsia="宋体" w:cs="Times New Roman"/>
                <w:color w:val="000000"/>
                <w:kern w:val="0"/>
                <w:sz w:val="20"/>
                <w:szCs w:val="20"/>
                <w:lang w:val="en-US" w:eastAsia="zh-CN" w:bidi="ar"/>
              </w:rPr>
            </w:pPr>
            <w:r>
              <w:rPr>
                <w:rFonts w:hint="eastAsia" w:ascii="Times New Roman" w:hAnsi="Times New Roman" w:eastAsia="宋体" w:cs="Times New Roman"/>
                <w:color w:val="000000"/>
                <w:kern w:val="0"/>
                <w:sz w:val="20"/>
                <w:szCs w:val="20"/>
                <w:lang w:val="en-US" w:eastAsia="zh-CN" w:bidi="ar"/>
              </w:rPr>
              <w:t>累计盈余资金</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051CC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1093.30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97204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1160.90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8996A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1227.92</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3A3CA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1294.32</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4A5315">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1361.13</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203A4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1427.33</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563212">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1492.90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4B79C1">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1557.84</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22FACE">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1622.15</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3C35F7">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1686.85</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E4527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1750.92</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58F99A">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1814.34</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8083BF">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1877.10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40D3C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1939.20</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EFBAA4">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r>
              <w:rPr>
                <w:rFonts w:hint="default" w:ascii="Times New Roman" w:hAnsi="Times New Roman" w:eastAsia="宋体" w:cs="Times New Roman"/>
                <w:color w:val="000000"/>
                <w:kern w:val="0"/>
                <w:sz w:val="20"/>
                <w:szCs w:val="20"/>
                <w:lang w:val="en-US" w:eastAsia="zh-CN" w:bidi="ar"/>
              </w:rPr>
              <w:t>143.44</w:t>
            </w: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257F76">
            <w:pPr>
              <w:widowControl/>
              <w:spacing w:line="240" w:lineRule="exact"/>
              <w:ind w:firstLine="0" w:firstLineChars="0"/>
              <w:jc w:val="center"/>
              <w:textAlignment w:val="center"/>
              <w:rPr>
                <w:rFonts w:hint="default" w:ascii="Times New Roman" w:hAnsi="Times New Roman" w:eastAsia="宋体" w:cs="Times New Roman"/>
                <w:color w:val="000000"/>
                <w:kern w:val="0"/>
                <w:sz w:val="20"/>
                <w:szCs w:val="20"/>
                <w:lang w:val="en-US" w:eastAsia="zh-CN" w:bidi="ar"/>
              </w:rPr>
            </w:pPr>
          </w:p>
        </w:tc>
      </w:tr>
    </w:tbl>
    <w:p w14:paraId="17FB79A1">
      <w:pPr>
        <w:pStyle w:val="32"/>
        <w:ind w:firstLineChars="0"/>
        <w:rPr>
          <w:rStyle w:val="21"/>
          <w:rFonts w:eastAsia="等线"/>
        </w:rPr>
        <w:sectPr>
          <w:pgSz w:w="16838" w:h="11906"/>
          <w:pgMar w:top="1440" w:right="1803" w:bottom="1440" w:left="1803" w:header="851" w:footer="992" w:gutter="0"/>
          <w:cols w:space="425" w:num="1"/>
          <w:docGrid w:type="lines" w:linePitch="435" w:charSpace="0"/>
        </w:sectPr>
      </w:pPr>
    </w:p>
    <w:p w14:paraId="376D6CDB">
      <w:pPr>
        <w:pStyle w:val="32"/>
        <w:spacing w:line="560" w:lineRule="exact"/>
        <w:ind w:firstLine="640" w:firstLineChars="200"/>
        <w:rPr>
          <w:rStyle w:val="21"/>
          <w:rFonts w:ascii="黑体" w:hAnsi="黑体" w:eastAsia="黑体"/>
          <w:sz w:val="32"/>
          <w:szCs w:val="32"/>
        </w:rPr>
      </w:pPr>
      <w:r>
        <w:rPr>
          <w:rStyle w:val="21"/>
          <w:rFonts w:ascii="黑体" w:hAnsi="黑体" w:eastAsia="黑体"/>
          <w:sz w:val="32"/>
          <w:szCs w:val="32"/>
        </w:rPr>
        <w:t>五、项目绩效目标</w:t>
      </w:r>
    </w:p>
    <w:p w14:paraId="021F6565">
      <w:pPr>
        <w:spacing w:line="560" w:lineRule="exact"/>
        <w:ind w:firstLine="640" w:firstLineChars="200"/>
        <w:rPr>
          <w:rFonts w:hint="eastAsia" w:ascii="仿宋_GB2312" w:eastAsia="仿宋_GB2312"/>
          <w:sz w:val="32"/>
          <w:szCs w:val="32"/>
          <w:lang w:val="en-GB"/>
        </w:rPr>
      </w:pPr>
      <w:r>
        <w:rPr>
          <w:rFonts w:hint="eastAsia" w:ascii="仿宋_GB2312" w:eastAsia="仿宋_GB2312"/>
          <w:sz w:val="32"/>
          <w:szCs w:val="32"/>
          <w:lang w:val="en-GB"/>
        </w:rPr>
        <w:t>（1）数量指标</w:t>
      </w:r>
      <w:r>
        <w:rPr>
          <w:rFonts w:hint="eastAsia" w:ascii="仿宋_GB2312" w:eastAsia="仿宋_GB2312"/>
          <w:sz w:val="32"/>
          <w:szCs w:val="32"/>
          <w:lang w:val="en-GB" w:eastAsia="zh-CN"/>
        </w:rPr>
        <w:t>：</w:t>
      </w:r>
      <w:r>
        <w:rPr>
          <w:rFonts w:hint="eastAsia" w:ascii="仿宋_GB2312" w:eastAsia="仿宋_GB2312"/>
          <w:sz w:val="32"/>
          <w:szCs w:val="32"/>
          <w:lang w:val="en-GB"/>
        </w:rPr>
        <w:t>本次整治改造、新建渠道共43条，总长62.591km，其中整治干渠（自流左、右干渠）2条，共计9.918km</w:t>
      </w:r>
      <w:r>
        <w:rPr>
          <w:rStyle w:val="21"/>
          <w:rFonts w:ascii="仿宋_GB2312" w:hAnsi="Calibri" w:eastAsia="仿宋_GB2312"/>
          <w:sz w:val="32"/>
          <w:szCs w:val="32"/>
        </w:rPr>
        <w:t>。</w:t>
      </w:r>
    </w:p>
    <w:p w14:paraId="662F47D0">
      <w:pPr>
        <w:spacing w:line="560" w:lineRule="exact"/>
        <w:ind w:firstLine="640" w:firstLineChars="200"/>
        <w:rPr>
          <w:rFonts w:hint="eastAsia" w:ascii="仿宋_GB2312" w:eastAsia="仿宋_GB2312"/>
          <w:sz w:val="32"/>
          <w:szCs w:val="32"/>
          <w:lang w:val="en-GB"/>
        </w:rPr>
      </w:pPr>
      <w:r>
        <w:rPr>
          <w:rFonts w:hint="eastAsia" w:ascii="仿宋_GB2312" w:eastAsia="仿宋_GB2312"/>
          <w:sz w:val="32"/>
          <w:szCs w:val="32"/>
          <w:lang w:val="en-GB"/>
        </w:rPr>
        <w:t>（2）时效指标：预计项目在202</w:t>
      </w:r>
      <w:r>
        <w:rPr>
          <w:rFonts w:hint="eastAsia" w:ascii="仿宋_GB2312" w:eastAsia="仿宋_GB2312"/>
          <w:sz w:val="32"/>
          <w:szCs w:val="32"/>
          <w:lang w:val="en-US" w:eastAsia="zh-CN"/>
        </w:rPr>
        <w:t>6</w:t>
      </w:r>
      <w:r>
        <w:rPr>
          <w:rFonts w:hint="eastAsia" w:ascii="仿宋_GB2312" w:eastAsia="仿宋_GB2312"/>
          <w:sz w:val="32"/>
          <w:szCs w:val="32"/>
          <w:lang w:val="en-GB"/>
        </w:rPr>
        <w:t>年完工，具体完工时间按工程进度确定。</w:t>
      </w:r>
    </w:p>
    <w:p w14:paraId="19D1F7F1">
      <w:pPr>
        <w:spacing w:line="560" w:lineRule="exact"/>
        <w:ind w:firstLine="640" w:firstLineChars="200"/>
        <w:rPr>
          <w:rFonts w:hint="eastAsia" w:ascii="仿宋_GB2312" w:eastAsia="仿宋_GB2312"/>
          <w:sz w:val="32"/>
          <w:szCs w:val="32"/>
          <w:lang w:val="en-GB"/>
        </w:rPr>
      </w:pPr>
      <w:r>
        <w:rPr>
          <w:rFonts w:hint="eastAsia" w:ascii="仿宋_GB2312" w:eastAsia="仿宋_GB2312"/>
          <w:sz w:val="32"/>
          <w:szCs w:val="32"/>
          <w:lang w:val="en-GB"/>
        </w:rPr>
        <w:t>（3）成本指标：项目总投资</w:t>
      </w:r>
      <w:r>
        <w:rPr>
          <w:rStyle w:val="21"/>
          <w:rFonts w:hint="eastAsia" w:ascii="仿宋_GB2312" w:hAnsi="Calibri" w:eastAsia="仿宋_GB2312"/>
          <w:sz w:val="32"/>
          <w:szCs w:val="32"/>
          <w:lang w:eastAsia="zh-CN"/>
        </w:rPr>
        <w:t>5517.92</w:t>
      </w:r>
      <w:r>
        <w:rPr>
          <w:rFonts w:hint="eastAsia" w:ascii="仿宋_GB2312" w:eastAsia="仿宋_GB2312"/>
          <w:sz w:val="32"/>
          <w:szCs w:val="32"/>
          <w:lang w:val="en-GB"/>
        </w:rPr>
        <w:t>万元。</w:t>
      </w:r>
    </w:p>
    <w:p w14:paraId="7C67A317">
      <w:pPr>
        <w:spacing w:line="560" w:lineRule="exact"/>
        <w:ind w:firstLine="640" w:firstLineChars="200"/>
        <w:rPr>
          <w:rFonts w:hint="eastAsia" w:ascii="仿宋_GB2312" w:eastAsia="仿宋_GB2312"/>
          <w:sz w:val="32"/>
          <w:szCs w:val="32"/>
          <w:lang w:val="en-GB"/>
        </w:rPr>
      </w:pPr>
      <w:r>
        <w:rPr>
          <w:rFonts w:hint="eastAsia" w:ascii="仿宋_GB2312" w:eastAsia="仿宋_GB2312"/>
          <w:sz w:val="32"/>
          <w:szCs w:val="32"/>
          <w:lang w:val="en-GB"/>
        </w:rPr>
        <w:t>（4）经济效益指标:运营总收入为</w:t>
      </w:r>
      <w:r>
        <w:rPr>
          <w:rFonts w:hint="eastAsia" w:ascii="仿宋_GB2312" w:hAnsi="仿宋_GB2312" w:eastAsia="仿宋_GB2312"/>
          <w:color w:val="000000"/>
          <w:sz w:val="32"/>
          <w:szCs w:val="32"/>
          <w:lang w:eastAsia="zh-CN"/>
        </w:rPr>
        <w:t>5966.05</w:t>
      </w:r>
      <w:r>
        <w:rPr>
          <w:rFonts w:hint="eastAsia" w:ascii="仿宋_GB2312" w:eastAsia="仿宋_GB2312"/>
          <w:sz w:val="32"/>
          <w:szCs w:val="32"/>
          <w:lang w:val="en-GB"/>
        </w:rPr>
        <w:t>万元。</w:t>
      </w:r>
    </w:p>
    <w:p w14:paraId="54ACFAE8">
      <w:pPr>
        <w:spacing w:after="120" w:line="560" w:lineRule="exact"/>
        <w:ind w:firstLine="640" w:firstLineChars="200"/>
        <w:rPr>
          <w:rFonts w:hint="eastAsia" w:ascii="仿宋_GB2312" w:eastAsia="仿宋_GB2312"/>
          <w:sz w:val="32"/>
          <w:szCs w:val="32"/>
          <w:lang w:val="en-GB" w:eastAsia="zh-CN"/>
        </w:rPr>
      </w:pPr>
      <w:r>
        <w:rPr>
          <w:rFonts w:hint="eastAsia" w:ascii="仿宋_GB2312" w:eastAsia="仿宋_GB2312"/>
          <w:sz w:val="32"/>
          <w:szCs w:val="32"/>
          <w:lang w:val="en-GB"/>
        </w:rPr>
        <w:t>（5）社会效益指标：</w:t>
      </w:r>
      <w:r>
        <w:rPr>
          <w:rStyle w:val="21"/>
          <w:rFonts w:hint="eastAsia" w:ascii="仿宋_GB2312" w:eastAsia="仿宋_GB2312"/>
          <w:color w:val="000000"/>
          <w:sz w:val="32"/>
          <w:szCs w:val="32"/>
        </w:rPr>
        <w:t>水资源是典型公共资源，项目通过改造将灌溉水利用系数从0.54提升至0.74，年节约水量超500万立方米——节约的水资源一方面可优先保障灌区农业生产这一公共性基础产业，另一方面可置换用于生态补水、城乡生活备用等公共领域，缓解区域水资源供需矛盾。同时，项目降低渠道维护成本30%-40%，减少基层水利管护的公共支出压力，让有限的公共资金更高效地服务于资源保障，体现了公共资源“提质增效、普惠共享”的公益特质</w:t>
      </w:r>
      <w:r>
        <w:rPr>
          <w:rStyle w:val="21"/>
          <w:rFonts w:hint="eastAsia" w:ascii="仿宋_GB2312" w:eastAsia="仿宋_GB2312"/>
          <w:color w:val="000000"/>
          <w:sz w:val="32"/>
          <w:szCs w:val="32"/>
          <w:lang w:eastAsia="zh-CN"/>
        </w:rPr>
        <w:t>。</w:t>
      </w:r>
    </w:p>
    <w:p w14:paraId="13493328">
      <w:pPr>
        <w:spacing w:after="120" w:line="560" w:lineRule="exact"/>
        <w:ind w:firstLine="640" w:firstLineChars="200"/>
        <w:rPr>
          <w:rStyle w:val="21"/>
          <w:rFonts w:ascii="黑体" w:hAnsi="黑体" w:eastAsia="黑体"/>
          <w:sz w:val="32"/>
          <w:szCs w:val="32"/>
        </w:rPr>
      </w:pPr>
      <w:r>
        <w:rPr>
          <w:rStyle w:val="21"/>
          <w:rFonts w:ascii="黑体" w:hAnsi="黑体" w:eastAsia="黑体"/>
          <w:sz w:val="32"/>
          <w:szCs w:val="32"/>
        </w:rPr>
        <w:t>六、潜在影响项目的风险评估</w:t>
      </w:r>
    </w:p>
    <w:p w14:paraId="2304ED56">
      <w:pPr>
        <w:spacing w:line="560" w:lineRule="exact"/>
        <w:ind w:firstLine="640" w:firstLineChars="200"/>
        <w:rPr>
          <w:rStyle w:val="21"/>
          <w:rFonts w:ascii="仿宋_GB2312" w:hAnsi="Calibri" w:eastAsia="仿宋_GB2312"/>
          <w:sz w:val="32"/>
          <w:szCs w:val="32"/>
        </w:rPr>
      </w:pPr>
      <w:r>
        <w:rPr>
          <w:rStyle w:val="21"/>
          <w:rFonts w:ascii="仿宋_GB2312" w:hAnsi="Calibri" w:eastAsia="仿宋_GB2312"/>
          <w:sz w:val="32"/>
          <w:szCs w:val="32"/>
        </w:rPr>
        <w:t>（1）影响项目施工进度或正常运营的风险因素主要包括工期延长、工程事故发生等。针对以上风险，一是全面统筹安排，确保本项目前期运作顺利进行；二是选择优质施工队伍、做好事前预防工作及质量安全检查。</w:t>
      </w:r>
    </w:p>
    <w:p w14:paraId="01A44CB7">
      <w:pPr>
        <w:spacing w:line="560" w:lineRule="exact"/>
        <w:ind w:firstLine="640" w:firstLineChars="200"/>
        <w:rPr>
          <w:rStyle w:val="21"/>
          <w:rFonts w:ascii="仿宋_GB2312" w:hAnsi="Calibri" w:eastAsia="仿宋_GB2312"/>
          <w:sz w:val="32"/>
          <w:szCs w:val="32"/>
        </w:rPr>
      </w:pPr>
      <w:r>
        <w:rPr>
          <w:rStyle w:val="21"/>
          <w:rFonts w:ascii="仿宋_GB2312" w:hAnsi="Calibri" w:eastAsia="仿宋_GB2312"/>
          <w:sz w:val="32"/>
          <w:szCs w:val="32"/>
        </w:rPr>
        <w:t>（2）影响项目收益的风险主要是市场环境的不确定性带来风险。本项目预测价格参考了周边类似项目市场价格，预测单价较为保守，未来成交价格有保证。</w:t>
      </w:r>
    </w:p>
    <w:p w14:paraId="50F88405">
      <w:pPr>
        <w:spacing w:line="560" w:lineRule="exact"/>
        <w:ind w:firstLine="640" w:firstLineChars="200"/>
        <w:rPr>
          <w:rStyle w:val="21"/>
          <w:rFonts w:ascii="仿宋_GB2312" w:hAnsi="Calibri" w:eastAsia="仿宋_GB2312"/>
          <w:sz w:val="32"/>
          <w:szCs w:val="32"/>
        </w:rPr>
      </w:pPr>
      <w:r>
        <w:rPr>
          <w:rStyle w:val="21"/>
          <w:rFonts w:ascii="仿宋_GB2312" w:hAnsi="Calibri" w:eastAsia="仿宋_GB2312"/>
          <w:sz w:val="32"/>
          <w:szCs w:val="32"/>
        </w:rPr>
        <w:t>（3）影响融资平衡结果的风险主要是投资测算不准及利率波动风险。本项目实施方案经过大量分析论证工作后认为，投资分析结果较为可靠。同时，项目前期应做好债券期限配比，发债后做好还款计划和准备，尽量减少利率波动损失。</w:t>
      </w:r>
    </w:p>
    <w:p w14:paraId="073D5993">
      <w:pPr>
        <w:spacing w:after="120" w:line="560" w:lineRule="exact"/>
        <w:ind w:firstLine="640" w:firstLineChars="200"/>
        <w:rPr>
          <w:rStyle w:val="21"/>
          <w:rFonts w:ascii="仿宋_GB2312" w:eastAsia="仿宋_GB2312"/>
          <w:sz w:val="32"/>
          <w:szCs w:val="32"/>
        </w:rPr>
      </w:pPr>
      <w:r>
        <w:rPr>
          <w:rStyle w:val="21"/>
          <w:rFonts w:ascii="黑体" w:hAnsi="黑体" w:eastAsia="黑体"/>
          <w:sz w:val="32"/>
          <w:szCs w:val="32"/>
        </w:rPr>
        <w:t>七、还款保障情况</w:t>
      </w:r>
    </w:p>
    <w:p w14:paraId="4C22B85B">
      <w:pPr>
        <w:spacing w:line="560" w:lineRule="exact"/>
        <w:ind w:firstLine="640" w:firstLineChars="200"/>
        <w:rPr>
          <w:rStyle w:val="21"/>
          <w:rFonts w:ascii="仿宋_GB2312" w:hAnsi="Calibri" w:eastAsia="仿宋_GB2312"/>
          <w:sz w:val="32"/>
          <w:szCs w:val="32"/>
        </w:rPr>
      </w:pPr>
      <w:r>
        <w:rPr>
          <w:rStyle w:val="21"/>
          <w:rFonts w:ascii="仿宋_GB2312" w:hAnsi="Calibri" w:eastAsia="仿宋_GB2312"/>
          <w:sz w:val="32"/>
          <w:szCs w:val="32"/>
        </w:rPr>
        <w:t>按照《国务院办公厅关于印发地方政府性债务风险应急处置预案的通知》（国办函〔2016〕88号）规定，本级政府对地方政府债券依法承担全部偿还责任。本级财政将按照《财政部关于印发&lt;地方政府专项债务预算管理办法&gt;的通知》（财预〔2016〕155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采取适当方式扣回。</w:t>
      </w:r>
    </w:p>
    <w:p w14:paraId="755C558D">
      <w:pPr>
        <w:spacing w:after="120" w:line="560" w:lineRule="exact"/>
        <w:ind w:firstLine="640" w:firstLineChars="200"/>
        <w:rPr>
          <w:rStyle w:val="21"/>
          <w:rFonts w:ascii="黑体" w:hAnsi="黑体" w:eastAsia="黑体"/>
          <w:sz w:val="32"/>
          <w:szCs w:val="32"/>
        </w:rPr>
      </w:pPr>
      <w:r>
        <w:rPr>
          <w:rStyle w:val="21"/>
          <w:rFonts w:ascii="黑体" w:hAnsi="黑体" w:eastAsia="黑体"/>
          <w:sz w:val="32"/>
          <w:szCs w:val="32"/>
        </w:rPr>
        <w:t>八、</w:t>
      </w:r>
      <w:r>
        <w:rPr>
          <w:rFonts w:hint="eastAsia" w:ascii="黑体" w:hAnsi="黑体" w:eastAsia="黑体"/>
          <w:sz w:val="32"/>
          <w:szCs w:val="32"/>
        </w:rPr>
        <w:t>主管部门和项目单位职责</w:t>
      </w:r>
    </w:p>
    <w:p w14:paraId="1355EB22">
      <w:pPr>
        <w:spacing w:line="560" w:lineRule="exact"/>
        <w:ind w:firstLine="640" w:firstLineChars="200"/>
        <w:rPr>
          <w:rStyle w:val="21"/>
          <w:rFonts w:ascii="仿宋_GB2312" w:hAnsi="Calibri" w:eastAsia="仿宋_GB2312"/>
          <w:sz w:val="32"/>
          <w:szCs w:val="32"/>
        </w:rPr>
      </w:pPr>
      <w:r>
        <w:rPr>
          <w:rStyle w:val="21"/>
          <w:rFonts w:hint="eastAsia" w:ascii="仿宋_GB2312" w:hAnsi="Calibri" w:eastAsia="仿宋_GB2312"/>
          <w:sz w:val="32"/>
          <w:szCs w:val="32"/>
        </w:rPr>
        <w:t>1.主管部门及职责</w:t>
      </w:r>
    </w:p>
    <w:p w14:paraId="6DCC9846">
      <w:pPr>
        <w:spacing w:line="560" w:lineRule="exact"/>
        <w:ind w:firstLine="640" w:firstLineChars="200"/>
        <w:rPr>
          <w:rStyle w:val="21"/>
          <w:rFonts w:ascii="仿宋_GB2312" w:hAnsi="Calibri" w:eastAsia="仿宋_GB2312"/>
          <w:sz w:val="32"/>
          <w:szCs w:val="32"/>
        </w:rPr>
      </w:pPr>
      <w:r>
        <w:rPr>
          <w:rStyle w:val="21"/>
          <w:rFonts w:hint="eastAsia" w:ascii="仿宋_GB2312" w:hAnsi="Calibri" w:eastAsia="仿宋_GB2312"/>
          <w:sz w:val="32"/>
          <w:szCs w:val="32"/>
        </w:rPr>
        <w:t>本项目</w:t>
      </w:r>
      <w:r>
        <w:rPr>
          <w:rStyle w:val="21"/>
          <w:rFonts w:hint="eastAsia" w:ascii="仿宋_GB2312" w:hAnsi="Calibri" w:eastAsia="仿宋_GB2312"/>
          <w:sz w:val="32"/>
          <w:szCs w:val="32"/>
          <w:lang w:val="en-US" w:eastAsia="zh-CN"/>
        </w:rPr>
        <w:t>主管单位</w:t>
      </w:r>
      <w:r>
        <w:rPr>
          <w:rStyle w:val="21"/>
          <w:rFonts w:hint="eastAsia" w:ascii="仿宋_GB2312" w:hAnsi="Calibri" w:eastAsia="仿宋_GB2312"/>
          <w:sz w:val="32"/>
          <w:szCs w:val="32"/>
        </w:rPr>
        <w:t>是</w:t>
      </w:r>
      <w:r>
        <w:rPr>
          <w:rStyle w:val="21"/>
          <w:rFonts w:hint="eastAsia" w:ascii="仿宋_GB2312" w:hAnsi="Calibri" w:eastAsia="仿宋_GB2312"/>
          <w:sz w:val="32"/>
          <w:szCs w:val="32"/>
          <w:lang w:eastAsia="zh-CN"/>
        </w:rPr>
        <w:t>内江市东兴区水利局，</w:t>
      </w:r>
      <w:r>
        <w:rPr>
          <w:rStyle w:val="21"/>
          <w:rFonts w:ascii="仿宋_GB2312" w:hAnsi="Calibri" w:eastAsia="仿宋_GB2312"/>
          <w:sz w:val="32"/>
          <w:szCs w:val="32"/>
        </w:rPr>
        <w:t>主管部门将会配合做好本地区项目收益专项债券发行准备工作，及时准确提供相关资料，配合做好信息披露、信用评级、资产评估等工作。项目运行过程中，主管部门将主动披露项目施工期间的施工进度、项目收益专项债券资金使用情况、项目运营期间的收支情况等信息。在债券资金管理方面，行业主管部门将会履行项目建设运营管理责任，加强成本控制，确保项目形成的专项收入应收尽收，并按照规定及时足额上交。年终时，行业主管部门配合财政部门编制项目收益债券收支决算，在政府性基金预算报告中全面、准确反映项目收益专项债券收入、支出、还本付息、发行费用、取得的收入等情况。债券对应资产管理方面，主管部门将会协同财政部门将各类项目收益专项债券对应项目形成的资产纳入国有资产管理，建立相应的资产登记和统计报告制度，加强资产日常统计和动态监控。</w:t>
      </w:r>
    </w:p>
    <w:p w14:paraId="5F5BE894">
      <w:pPr>
        <w:spacing w:line="560" w:lineRule="exact"/>
        <w:ind w:firstLine="640" w:firstLineChars="200"/>
        <w:rPr>
          <w:rStyle w:val="21"/>
          <w:rFonts w:ascii="仿宋_GB2312" w:hAnsi="Calibri" w:eastAsia="仿宋_GB2312"/>
          <w:sz w:val="32"/>
          <w:szCs w:val="32"/>
        </w:rPr>
      </w:pPr>
      <w:r>
        <w:rPr>
          <w:rStyle w:val="21"/>
          <w:rFonts w:hint="eastAsia" w:ascii="仿宋_GB2312" w:hAnsi="Calibri" w:eastAsia="仿宋_GB2312"/>
          <w:sz w:val="32"/>
          <w:szCs w:val="32"/>
        </w:rPr>
        <w:t>2.项目业主及职责</w:t>
      </w:r>
    </w:p>
    <w:p w14:paraId="71128301">
      <w:pPr>
        <w:spacing w:line="560" w:lineRule="exact"/>
        <w:ind w:firstLine="640" w:firstLineChars="200"/>
        <w:rPr>
          <w:rStyle w:val="21"/>
          <w:rFonts w:ascii="仿宋_GB2312" w:hAnsi="Calibri" w:eastAsia="仿宋_GB2312"/>
          <w:sz w:val="32"/>
          <w:szCs w:val="32"/>
        </w:rPr>
      </w:pPr>
      <w:r>
        <w:rPr>
          <w:rStyle w:val="21"/>
          <w:rFonts w:hint="eastAsia" w:ascii="仿宋_GB2312" w:hAnsi="Calibri" w:eastAsia="仿宋_GB2312"/>
          <w:sz w:val="32"/>
          <w:szCs w:val="32"/>
        </w:rPr>
        <w:t>本项目业主是</w:t>
      </w:r>
      <w:r>
        <w:rPr>
          <w:rStyle w:val="21"/>
          <w:rFonts w:hint="eastAsia" w:ascii="仿宋_GB2312" w:hAnsi="Calibri" w:eastAsia="仿宋_GB2312"/>
          <w:sz w:val="32"/>
          <w:szCs w:val="32"/>
          <w:lang w:eastAsia="zh-CN"/>
        </w:rPr>
        <w:t>内江市东兴区水利建设服务中心</w:t>
      </w:r>
      <w:r>
        <w:rPr>
          <w:rStyle w:val="21"/>
          <w:rFonts w:hint="eastAsia" w:ascii="仿宋_GB2312" w:hAnsi="Calibri" w:eastAsia="仿宋_GB2312"/>
          <w:sz w:val="32"/>
          <w:szCs w:val="32"/>
        </w:rPr>
        <w:t>。其职责为提出专项债券项目需求申请，编制报送项目实施方案及相关资料，配合做好债券发行准备。规范使用债券资金，及时形成支出，提高资金使用效益。定期评估项目成本、预期收益和对应资产价值等，发现风险或异常情况及时向主管部门报告。编制专项债券收支、偿还计划并纳入单位年度预算管理，将债券项目收入及时足额缴入国库。做好数据填报、信息公开等相关工作。</w:t>
      </w:r>
    </w:p>
    <w:p w14:paraId="03B97785">
      <w:pPr>
        <w:spacing w:after="120" w:line="560" w:lineRule="exact"/>
        <w:ind w:firstLine="640" w:firstLineChars="200"/>
        <w:jc w:val="left"/>
        <w:rPr>
          <w:rStyle w:val="21"/>
          <w:rFonts w:ascii="方正小标宋简体" w:eastAsia="方正小标宋简体"/>
          <w:sz w:val="44"/>
          <w:szCs w:val="44"/>
        </w:rPr>
      </w:pPr>
      <w:r>
        <w:rPr>
          <w:rStyle w:val="21"/>
          <w:rFonts w:ascii="黑体" w:hAnsi="黑体" w:eastAsia="黑体"/>
          <w:sz w:val="32"/>
          <w:szCs w:val="32"/>
        </w:rPr>
        <w:t>九、补充说明</w:t>
      </w:r>
    </w:p>
    <w:p w14:paraId="41F6461E">
      <w:pPr>
        <w:spacing w:after="120" w:line="560" w:lineRule="exact"/>
        <w:ind w:firstLine="632" w:firstLineChars="200"/>
        <w:rPr>
          <w:rStyle w:val="21"/>
          <w:rFonts w:hint="default" w:ascii="仿宋_GB2312" w:hAnsi="仿宋_GB2312" w:eastAsia="仿宋_GB2312"/>
          <w:w w:val="99"/>
          <w:sz w:val="32"/>
          <w:szCs w:val="32"/>
          <w:highlight w:val="none"/>
          <w:lang w:val="en-US" w:eastAsia="zh-CN"/>
        </w:rPr>
      </w:pPr>
      <w:r>
        <w:rPr>
          <w:rStyle w:val="21"/>
          <w:rFonts w:hint="eastAsia" w:ascii="仿宋_GB2312" w:hAnsi="仿宋_GB2312" w:eastAsia="仿宋_GB2312"/>
          <w:w w:val="99"/>
          <w:sz w:val="32"/>
          <w:szCs w:val="32"/>
          <w:highlight w:val="none"/>
        </w:rPr>
        <w:t>此项目债券资金总需求</w:t>
      </w:r>
      <w:r>
        <w:rPr>
          <w:rStyle w:val="21"/>
          <w:rFonts w:hint="eastAsia" w:ascii="仿宋_GB2312" w:hAnsi="仿宋_GB2312" w:eastAsia="仿宋_GB2312"/>
          <w:w w:val="99"/>
          <w:sz w:val="32"/>
          <w:szCs w:val="32"/>
          <w:highlight w:val="none"/>
          <w:lang w:val="en-US" w:eastAsia="zh-CN"/>
        </w:rPr>
        <w:t>1900.00</w:t>
      </w:r>
      <w:r>
        <w:rPr>
          <w:rStyle w:val="21"/>
          <w:rFonts w:hint="eastAsia" w:ascii="仿宋_GB2312" w:hAnsi="仿宋_GB2312" w:eastAsia="仿宋_GB2312"/>
          <w:w w:val="99"/>
          <w:sz w:val="32"/>
          <w:szCs w:val="32"/>
          <w:highlight w:val="none"/>
        </w:rPr>
        <w:t>万元，</w:t>
      </w:r>
      <w:r>
        <w:rPr>
          <w:rStyle w:val="21"/>
          <w:rFonts w:hint="eastAsia" w:ascii="仿宋_GB2312" w:hAnsi="仿宋_GB2312" w:eastAsia="仿宋_GB2312"/>
          <w:w w:val="99"/>
          <w:sz w:val="32"/>
          <w:szCs w:val="32"/>
          <w:highlight w:val="none"/>
          <w:lang w:eastAsia="zh-CN"/>
        </w:rPr>
        <w:t>根据发行计划及额度安排,此项目计划于202</w:t>
      </w:r>
      <w:r>
        <w:rPr>
          <w:rStyle w:val="21"/>
          <w:rFonts w:hint="eastAsia" w:ascii="仿宋_GB2312" w:hAnsi="仿宋_GB2312" w:eastAsia="仿宋_GB2312"/>
          <w:w w:val="99"/>
          <w:sz w:val="32"/>
          <w:szCs w:val="32"/>
          <w:highlight w:val="none"/>
          <w:lang w:val="en-US" w:eastAsia="zh-CN"/>
        </w:rPr>
        <w:t>6</w:t>
      </w:r>
      <w:r>
        <w:rPr>
          <w:rStyle w:val="21"/>
          <w:rFonts w:hint="eastAsia" w:ascii="仿宋_GB2312" w:hAnsi="仿宋_GB2312" w:eastAsia="仿宋_GB2312"/>
          <w:w w:val="99"/>
          <w:sz w:val="32"/>
          <w:szCs w:val="32"/>
          <w:highlight w:val="none"/>
          <w:lang w:eastAsia="zh-CN"/>
        </w:rPr>
        <w:t>年发行</w:t>
      </w:r>
      <w:r>
        <w:rPr>
          <w:rStyle w:val="21"/>
          <w:rFonts w:hint="eastAsia" w:ascii="仿宋_GB2312" w:hAnsi="仿宋_GB2312" w:eastAsia="仿宋_GB2312"/>
          <w:w w:val="99"/>
          <w:sz w:val="32"/>
          <w:szCs w:val="32"/>
          <w:highlight w:val="none"/>
          <w:lang w:val="en-US" w:eastAsia="zh-CN"/>
        </w:rPr>
        <w:t>19</w:t>
      </w:r>
      <w:r>
        <w:rPr>
          <w:rStyle w:val="21"/>
          <w:rFonts w:hint="eastAsia" w:ascii="仿宋_GB2312" w:hAnsi="仿宋_GB2312" w:eastAsia="仿宋_GB2312"/>
          <w:w w:val="99"/>
          <w:sz w:val="32"/>
          <w:szCs w:val="32"/>
          <w:highlight w:val="none"/>
          <w:lang w:eastAsia="zh-CN"/>
        </w:rPr>
        <w:t>00.00万元，本次拟发行</w:t>
      </w:r>
      <w:r>
        <w:rPr>
          <w:rStyle w:val="21"/>
          <w:rFonts w:hint="eastAsia" w:ascii="仿宋_GB2312" w:hAnsi="仿宋_GB2312" w:eastAsia="仿宋_GB2312"/>
          <w:w w:val="99"/>
          <w:sz w:val="32"/>
          <w:szCs w:val="32"/>
          <w:highlight w:val="none"/>
          <w:lang w:val="en-US" w:eastAsia="zh-CN"/>
        </w:rPr>
        <w:t>50</w:t>
      </w:r>
      <w:r>
        <w:rPr>
          <w:rStyle w:val="21"/>
          <w:rFonts w:hint="eastAsia" w:ascii="仿宋_GB2312" w:hAnsi="仿宋_GB2312" w:eastAsia="仿宋_GB2312"/>
          <w:w w:val="99"/>
          <w:sz w:val="32"/>
          <w:szCs w:val="32"/>
          <w:highlight w:val="none"/>
          <w:lang w:eastAsia="zh-CN"/>
        </w:rPr>
        <w:t>0.00万元，</w:t>
      </w:r>
      <w:bookmarkStart w:id="1" w:name="_GoBack"/>
      <w:bookmarkEnd w:id="1"/>
      <w:r>
        <w:rPr>
          <w:rStyle w:val="21"/>
          <w:rFonts w:hint="eastAsia" w:ascii="仿宋_GB2312" w:hAnsi="仿宋_GB2312" w:eastAsia="仿宋_GB2312"/>
          <w:w w:val="99"/>
          <w:sz w:val="32"/>
          <w:szCs w:val="32"/>
          <w:highlight w:val="none"/>
          <w:lang w:eastAsia="zh-CN"/>
        </w:rPr>
        <w:t>期限</w:t>
      </w:r>
      <w:r>
        <w:rPr>
          <w:rStyle w:val="21"/>
          <w:rFonts w:hint="eastAsia" w:ascii="仿宋_GB2312" w:hAnsi="仿宋_GB2312" w:eastAsia="仿宋_GB2312"/>
          <w:w w:val="99"/>
          <w:sz w:val="32"/>
          <w:szCs w:val="32"/>
          <w:highlight w:val="none"/>
          <w:lang w:val="en-US" w:eastAsia="zh-CN"/>
        </w:rPr>
        <w:t>3</w:t>
      </w:r>
      <w:r>
        <w:rPr>
          <w:rStyle w:val="21"/>
          <w:rFonts w:hint="eastAsia" w:ascii="仿宋_GB2312" w:hAnsi="仿宋_GB2312" w:eastAsia="仿宋_GB2312"/>
          <w:w w:val="99"/>
          <w:sz w:val="32"/>
          <w:szCs w:val="32"/>
          <w:highlight w:val="none"/>
          <w:lang w:eastAsia="zh-CN"/>
        </w:rPr>
        <w:t>0年。</w:t>
      </w:r>
    </w:p>
    <w:sectPr>
      <w:pgSz w:w="11906" w:h="16838"/>
      <w:pgMar w:top="2098" w:right="1418" w:bottom="1588" w:left="1644"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LF_Kai">
    <w:altName w:val="宋体"/>
    <w:panose1 w:val="00000000000000000000"/>
    <w:charset w:val="86"/>
    <w:family w:val="script"/>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方正小标宋简体">
    <w:panose1 w:val="02000000000000000000"/>
    <w:charset w:val="86"/>
    <w:family w:val="auto"/>
    <w:pitch w:val="default"/>
    <w:sig w:usb0="A00002BF" w:usb1="184F6CFA" w:usb2="00000012" w:usb3="00000000" w:csb0="00040001" w:csb1="00000000"/>
  </w:font>
  <w:font w:name="等线">
    <w:panose1 w:val="02010600030101010101"/>
    <w:charset w:val="86"/>
    <w:family w:val="auto"/>
    <w:pitch w:val="default"/>
    <w:sig w:usb0="A00002BF" w:usb1="38CF7CFA" w:usb2="00000016" w:usb3="00000000" w:csb0="0004000F" w:csb1="00000000"/>
  </w:font>
  <w:font w:name="KSOF6B657194">
    <w:panose1 w:val="02020500000000000000"/>
    <w:charset w:val="88"/>
    <w:family w:val="auto"/>
    <w:pitch w:val="default"/>
    <w:sig w:usb0="00000001" w:usb1="00000000"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3677A">
    <w:pPr>
      <w:pStyle w:val="8"/>
      <w:jc w:val="center"/>
      <w:rPr>
        <w:rStyle w:val="21"/>
        <w:sz w:val="24"/>
        <w:szCs w:val="24"/>
      </w:rPr>
    </w:pPr>
    <w:r>
      <w:rPr>
        <w:sz w:val="24"/>
      </w:rPr>
      <w:pict>
        <v:shape id="_x0000_s4099"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2230FA11">
                <w:pPr>
                  <w:pStyle w:val="8"/>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8905E">
    <w:pPr>
      <w:pStyle w:val="8"/>
      <w:jc w:val="center"/>
      <w:rPr>
        <w:rStyle w:val="21"/>
        <w:sz w:val="24"/>
        <w:szCs w:val="24"/>
      </w:rPr>
    </w:pPr>
    <w:r>
      <w:rPr>
        <w:sz w:val="24"/>
      </w:rPr>
      <w:pict>
        <v:shape id="_x0000_s4100" o:spid="_x0000_s410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038C0A37">
                <w:pPr>
                  <w:pStyle w:val="8"/>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6189A">
    <w:pPr>
      <w:pStyle w:val="9"/>
      <w:ind w:firstLine="360"/>
      <w:rPr>
        <w:rStyle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C23BF">
    <w:pPr>
      <w:pStyle w:val="9"/>
      <w:ind w:firstLine="360"/>
      <w:rPr>
        <w:rStyle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isplayHorizontalDrawingGridEvery w:val="0"/>
  <w:doNotUseMarginsForDrawingGridOrigin w:val="1"/>
  <w:drawingGridHorizontalOrigin w:val="1800"/>
  <w:drawingGridVerticalOrigin w:val="1440"/>
  <w:noPunctuationKerning w:val="1"/>
  <w:characterSpacingControl w:val="doNotCompress"/>
  <w:hdrShapeDefaults>
    <o:shapelayout v:ext="edit">
      <o:idmap v:ext="edit" data="3,4"/>
    </o:shapelayout>
  </w:hdrShapeDefaults>
  <w:compat>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docVars>
    <w:docVar w:name="commondata" w:val="eyJoZGlkIjoiMTA5NWUxMDYwNDg2YzhiMmE5MWVhZTA5NWYxZjhiZTAifQ=="/>
  </w:docVars>
  <w:rsids>
    <w:rsidRoot w:val="00CE2334"/>
    <w:rsid w:val="001C0E47"/>
    <w:rsid w:val="002D7DD5"/>
    <w:rsid w:val="003231C1"/>
    <w:rsid w:val="00397B65"/>
    <w:rsid w:val="00430652"/>
    <w:rsid w:val="00430806"/>
    <w:rsid w:val="00603805"/>
    <w:rsid w:val="00723ED8"/>
    <w:rsid w:val="00843181"/>
    <w:rsid w:val="00A76D0B"/>
    <w:rsid w:val="00B73BA4"/>
    <w:rsid w:val="00C24DD5"/>
    <w:rsid w:val="00C35226"/>
    <w:rsid w:val="00CE2334"/>
    <w:rsid w:val="00E67CEA"/>
    <w:rsid w:val="00F81B30"/>
    <w:rsid w:val="010A1426"/>
    <w:rsid w:val="03AB04F5"/>
    <w:rsid w:val="05627F81"/>
    <w:rsid w:val="074D550D"/>
    <w:rsid w:val="0BDC6F5D"/>
    <w:rsid w:val="0D7D4536"/>
    <w:rsid w:val="0E8F4521"/>
    <w:rsid w:val="11567578"/>
    <w:rsid w:val="130D2F68"/>
    <w:rsid w:val="133F4ED9"/>
    <w:rsid w:val="15C745A0"/>
    <w:rsid w:val="19E51057"/>
    <w:rsid w:val="1A310B82"/>
    <w:rsid w:val="1ADE070A"/>
    <w:rsid w:val="1BF807B0"/>
    <w:rsid w:val="1E2F53D8"/>
    <w:rsid w:val="1EED5FD2"/>
    <w:rsid w:val="20256A93"/>
    <w:rsid w:val="23917957"/>
    <w:rsid w:val="241024A6"/>
    <w:rsid w:val="2428786F"/>
    <w:rsid w:val="24F32A89"/>
    <w:rsid w:val="27E320BD"/>
    <w:rsid w:val="29757674"/>
    <w:rsid w:val="297F5159"/>
    <w:rsid w:val="2A9211C9"/>
    <w:rsid w:val="2B104E04"/>
    <w:rsid w:val="2BD80E5D"/>
    <w:rsid w:val="2F1039E0"/>
    <w:rsid w:val="300F517B"/>
    <w:rsid w:val="30881EE6"/>
    <w:rsid w:val="31181B28"/>
    <w:rsid w:val="33D20888"/>
    <w:rsid w:val="33E54DAC"/>
    <w:rsid w:val="3447392B"/>
    <w:rsid w:val="352B64A2"/>
    <w:rsid w:val="35E36D7D"/>
    <w:rsid w:val="38FB4191"/>
    <w:rsid w:val="397130A1"/>
    <w:rsid w:val="3B037579"/>
    <w:rsid w:val="3C061417"/>
    <w:rsid w:val="3F161F71"/>
    <w:rsid w:val="40330901"/>
    <w:rsid w:val="422D2A50"/>
    <w:rsid w:val="42ED51B2"/>
    <w:rsid w:val="45BD4ED7"/>
    <w:rsid w:val="49541D27"/>
    <w:rsid w:val="4B371995"/>
    <w:rsid w:val="4CE731C8"/>
    <w:rsid w:val="4E320449"/>
    <w:rsid w:val="4F75620E"/>
    <w:rsid w:val="4FE0099B"/>
    <w:rsid w:val="500465BE"/>
    <w:rsid w:val="507242BC"/>
    <w:rsid w:val="5181771E"/>
    <w:rsid w:val="54921C42"/>
    <w:rsid w:val="54AA546C"/>
    <w:rsid w:val="55222FC6"/>
    <w:rsid w:val="57E63F62"/>
    <w:rsid w:val="580E0679"/>
    <w:rsid w:val="58922102"/>
    <w:rsid w:val="5AAB388F"/>
    <w:rsid w:val="5AE4275F"/>
    <w:rsid w:val="65B00232"/>
    <w:rsid w:val="65B23EF2"/>
    <w:rsid w:val="6780592A"/>
    <w:rsid w:val="692F6F4D"/>
    <w:rsid w:val="6CDE0E9F"/>
    <w:rsid w:val="6D3736DE"/>
    <w:rsid w:val="70334A73"/>
    <w:rsid w:val="70F3186B"/>
    <w:rsid w:val="76681540"/>
    <w:rsid w:val="76EF671D"/>
    <w:rsid w:val="77933457"/>
    <w:rsid w:val="78872261"/>
    <w:rsid w:val="7B6F6609"/>
    <w:rsid w:val="7BB0282A"/>
    <w:rsid w:val="7D140349"/>
    <w:rsid w:val="7E9C0C87"/>
    <w:rsid w:val="7F2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jc w:val="both"/>
      <w:textAlignment w:val="baseline"/>
    </w:pPr>
    <w:rPr>
      <w:rFonts w:ascii="Calibri" w:hAnsi="Times New Roman" w:eastAsia="宋体" w:cs="Times New Roman"/>
      <w:kern w:val="2"/>
      <w:sz w:val="21"/>
      <w:szCs w:val="22"/>
      <w:lang w:val="en-US" w:eastAsia="zh-CN" w:bidi="ar-SA"/>
    </w:rPr>
  </w:style>
  <w:style w:type="paragraph" w:styleId="4">
    <w:name w:val="heading 2"/>
    <w:basedOn w:val="1"/>
    <w:next w:val="1"/>
    <w:qFormat/>
    <w:uiPriority w:val="9"/>
    <w:pPr>
      <w:outlineLvl w:val="1"/>
    </w:pPr>
    <w:rPr>
      <w:rFonts w:eastAsia="楷体_GB2312"/>
      <w:bCs/>
    </w:rPr>
  </w:style>
  <w:style w:type="paragraph" w:styleId="5">
    <w:name w:val="heading 3"/>
    <w:next w:val="3"/>
    <w:autoRedefine/>
    <w:qFormat/>
    <w:uiPriority w:val="99"/>
    <w:pPr>
      <w:keepNext/>
      <w:keepLines/>
      <w:widowControl/>
      <w:tabs>
        <w:tab w:val="left" w:pos="0"/>
      </w:tabs>
      <w:adjustRightInd w:val="0"/>
      <w:snapToGrid w:val="0"/>
      <w:spacing w:before="0" w:beforeLines="0" w:after="120" w:afterLines="0" w:line="560" w:lineRule="exact"/>
      <w:ind w:firstLine="200" w:firstLineChars="200"/>
      <w:jc w:val="left"/>
      <w:outlineLvl w:val="2"/>
    </w:pPr>
    <w:rPr>
      <w:rFonts w:ascii="仿宋_GB2312" w:hAnsi="仿宋_GB2312" w:eastAsia="仿宋_GB2312" w:cs="仿宋_GB2312"/>
      <w:kern w:val="0"/>
      <w:sz w:val="32"/>
      <w:szCs w:val="32"/>
      <w:lang w:val="en-GB" w:eastAsia="zh-CN" w:bidi="ar-SA"/>
    </w:rPr>
  </w:style>
  <w:style w:type="character" w:default="1" w:styleId="14">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99"/>
    <w:pPr>
      <w:spacing w:after="0"/>
      <w:ind w:left="218" w:firstLine="420" w:firstLineChars="100"/>
    </w:pPr>
    <w:rPr>
      <w:rFonts w:ascii="宋体" w:hAnsi="宋体" w:cs="宋体"/>
      <w:sz w:val="24"/>
      <w:lang w:val="zh-CN" w:bidi="zh-CN"/>
    </w:rPr>
  </w:style>
  <w:style w:type="paragraph" w:styleId="3">
    <w:name w:val="Body Text"/>
    <w:basedOn w:val="1"/>
    <w:next w:val="1"/>
    <w:autoRedefine/>
    <w:qFormat/>
    <w:uiPriority w:val="1"/>
    <w:pPr>
      <w:widowControl/>
      <w:adjustRightInd w:val="0"/>
      <w:snapToGrid w:val="0"/>
      <w:spacing w:before="150" w:beforeLines="0" w:after="150" w:afterLines="0" w:line="264" w:lineRule="auto"/>
      <w:ind w:firstLine="567" w:firstLineChars="200"/>
      <w:jc w:val="both"/>
    </w:pPr>
    <w:rPr>
      <w:rFonts w:ascii="华文楷体" w:hAnsi="华文楷体" w:eastAsia="LF_Kai" w:cs="Times New Roman"/>
      <w:kern w:val="0"/>
      <w:sz w:val="24"/>
      <w:szCs w:val="20"/>
      <w:lang w:val="en-GB" w:eastAsia="zh-CN" w:bidi="ar-SA"/>
    </w:rPr>
  </w:style>
  <w:style w:type="paragraph" w:styleId="6">
    <w:name w:val="Body Text Indent"/>
    <w:basedOn w:val="1"/>
    <w:next w:val="7"/>
    <w:qFormat/>
    <w:uiPriority w:val="0"/>
    <w:pPr>
      <w:spacing w:after="120" w:afterLines="0" w:line="560" w:lineRule="exact"/>
      <w:ind w:left="420" w:leftChars="200" w:firstLine="200" w:firstLineChars="200"/>
      <w:jc w:val="both"/>
    </w:pPr>
    <w:rPr>
      <w:rFonts w:ascii="Times New Roman" w:hAnsi="Times New Roman" w:eastAsia="宋体" w:cs="Times New Roman"/>
      <w:kern w:val="2"/>
      <w:sz w:val="21"/>
      <w:szCs w:val="32"/>
      <w:lang w:val="en-US" w:eastAsia="zh-CN" w:bidi="ar-SA"/>
    </w:rPr>
  </w:style>
  <w:style w:type="paragraph" w:customStyle="1" w:styleId="7">
    <w:name w:val="样式 正文文本缩进 + Times New Roman"/>
    <w:basedOn w:val="6"/>
    <w:next w:val="1"/>
    <w:autoRedefine/>
    <w:qFormat/>
    <w:uiPriority w:val="0"/>
    <w:pPr>
      <w:tabs>
        <w:tab w:val="left" w:pos="7654"/>
      </w:tabs>
      <w:autoSpaceDE w:val="0"/>
      <w:autoSpaceDN w:val="0"/>
      <w:snapToGrid w:val="0"/>
      <w:spacing w:line="510" w:lineRule="exact"/>
      <w:ind w:right="-53" w:rightChars="-25" w:firstLine="520"/>
    </w:pPr>
    <w:rPr>
      <w:kern w:val="0"/>
      <w:sz w:val="26"/>
      <w:szCs w:val="26"/>
      <w:lang w:val="zh-CN"/>
    </w:rPr>
  </w:style>
  <w:style w:type="paragraph" w:styleId="8">
    <w:name w:val="footer"/>
    <w:basedOn w:val="1"/>
    <w:link w:val="24"/>
    <w:qFormat/>
    <w:uiPriority w:val="0"/>
    <w:pPr>
      <w:tabs>
        <w:tab w:val="center" w:pos="4153"/>
        <w:tab w:val="right" w:pos="8306"/>
      </w:tabs>
      <w:snapToGrid w:val="0"/>
      <w:jc w:val="left"/>
    </w:pPr>
    <w:rPr>
      <w:rFonts w:ascii="仿宋_GB2312" w:eastAsia="仿宋_GB2312"/>
      <w:sz w:val="18"/>
      <w:szCs w:val="18"/>
    </w:rPr>
  </w:style>
  <w:style w:type="paragraph" w:styleId="9">
    <w:name w:val="header"/>
    <w:basedOn w:val="1"/>
    <w:link w:val="29"/>
    <w:qFormat/>
    <w:uiPriority w:val="0"/>
    <w:pPr>
      <w:tabs>
        <w:tab w:val="center" w:pos="4153"/>
        <w:tab w:val="right" w:pos="8306"/>
      </w:tabs>
      <w:snapToGrid w:val="0"/>
      <w:spacing w:line="620" w:lineRule="exact"/>
      <w:ind w:firstLine="200" w:firstLineChars="200"/>
      <w:jc w:val="center"/>
    </w:pPr>
    <w:rPr>
      <w:rFonts w:ascii="仿宋_GB2312" w:eastAsia="仿宋_GB2312"/>
      <w:sz w:val="18"/>
      <w:szCs w:val="18"/>
    </w:rPr>
  </w:style>
  <w:style w:type="paragraph" w:styleId="10">
    <w:name w:val="toc 1"/>
    <w:next w:val="1"/>
    <w:qFormat/>
    <w:uiPriority w:val="39"/>
    <w:pPr>
      <w:tabs>
        <w:tab w:val="left" w:pos="540"/>
        <w:tab w:val="right" w:leader="dot" w:pos="8296"/>
      </w:tabs>
      <w:adjustRightInd w:val="0"/>
      <w:snapToGrid w:val="0"/>
      <w:spacing w:before="120" w:beforeLines="0" w:after="120" w:afterLines="0" w:line="560" w:lineRule="exact"/>
      <w:ind w:firstLine="200" w:firstLineChars="200"/>
      <w:jc w:val="left"/>
    </w:pPr>
    <w:rPr>
      <w:rFonts w:ascii="Calibri" w:hAnsi="Calibri" w:eastAsia="仿宋_GB2312" w:cs="Calibri"/>
      <w:b/>
      <w:bCs/>
      <w:caps/>
      <w:kern w:val="2"/>
      <w:sz w:val="28"/>
      <w:szCs w:val="28"/>
      <w:lang w:val="en-US" w:eastAsia="zh-CN" w:bidi="ar-SA"/>
    </w:rPr>
  </w:style>
  <w:style w:type="paragraph" w:styleId="11">
    <w:name w:val="Subtitle"/>
    <w:basedOn w:val="1"/>
    <w:next w:val="1"/>
    <w:link w:val="31"/>
    <w:autoRedefine/>
    <w:qFormat/>
    <w:uiPriority w:val="11"/>
    <w:pPr>
      <w:snapToGrid w:val="0"/>
      <w:spacing w:before="240" w:after="60" w:line="312" w:lineRule="auto"/>
      <w:jc w:val="center"/>
    </w:pPr>
    <w:rPr>
      <w:rFonts w:ascii="Cambria" w:hAnsi="Cambria" w:eastAsia="黑体"/>
      <w:kern w:val="28"/>
      <w:sz w:val="24"/>
      <w:szCs w:val="32"/>
    </w:rPr>
  </w:style>
  <w:style w:type="paragraph" w:styleId="12">
    <w:name w:val="Body Text First Indent 2"/>
    <w:basedOn w:val="6"/>
    <w:next w:val="1"/>
    <w:qFormat/>
    <w:uiPriority w:val="0"/>
    <w:pPr>
      <w:spacing w:after="120" w:afterLines="0" w:line="360" w:lineRule="auto"/>
      <w:ind w:left="420" w:leftChars="200" w:firstLine="420" w:firstLineChars="200"/>
      <w:jc w:val="both"/>
    </w:pPr>
    <w:rPr>
      <w:rFonts w:ascii="Times New Roman" w:hAnsi="Times New Roman" w:eastAsia="宋体" w:cs="Times New Roman"/>
      <w:kern w:val="2"/>
      <w:sz w:val="28"/>
      <w:szCs w:val="32"/>
      <w:lang w:val="en-US" w:eastAsia="zh-CN" w:bidi="ar-SA"/>
    </w:rPr>
  </w:style>
  <w:style w:type="paragraph" w:customStyle="1" w:styleId="15">
    <w:name w:val="正文-公1"/>
    <w:autoRedefine/>
    <w:qFormat/>
    <w:uiPriority w:val="99"/>
    <w:pPr>
      <w:widowControl w:val="0"/>
      <w:spacing w:line="560" w:lineRule="exact"/>
      <w:ind w:firstLine="200" w:firstLineChars="200"/>
    </w:pPr>
    <w:rPr>
      <w:rFonts w:ascii="仿宋_GB2312" w:hAnsi="仿宋_GB2312" w:eastAsia="仿宋_GB2312" w:cs="仿宋_GB2312"/>
      <w:kern w:val="2"/>
      <w:sz w:val="32"/>
      <w:szCs w:val="32"/>
      <w:lang w:val="en-US" w:eastAsia="zh-CN" w:bidi="ar-SA"/>
    </w:rPr>
  </w:style>
  <w:style w:type="paragraph" w:customStyle="1" w:styleId="16">
    <w:name w:val="TOC6"/>
    <w:basedOn w:val="1"/>
    <w:next w:val="1"/>
    <w:semiHidden/>
    <w:qFormat/>
    <w:uiPriority w:val="0"/>
    <w:pPr>
      <w:ind w:left="2100"/>
    </w:pPr>
    <w:rPr>
      <w:sz w:val="24"/>
    </w:rPr>
  </w:style>
  <w:style w:type="paragraph" w:customStyle="1" w:styleId="17">
    <w:name w:val="Heading2"/>
    <w:basedOn w:val="18"/>
    <w:next w:val="20"/>
    <w:autoRedefine/>
    <w:qFormat/>
    <w:uiPriority w:val="0"/>
    <w:rPr>
      <w:rFonts w:eastAsia="楷体_GB2312"/>
    </w:rPr>
  </w:style>
  <w:style w:type="paragraph" w:customStyle="1" w:styleId="18">
    <w:name w:val="Heading3"/>
    <w:basedOn w:val="1"/>
    <w:next w:val="19"/>
    <w:qFormat/>
    <w:uiPriority w:val="0"/>
    <w:pPr>
      <w:keepNext/>
      <w:keepLines/>
      <w:spacing w:after="120" w:line="560" w:lineRule="exact"/>
      <w:ind w:firstLine="200" w:firstLineChars="200"/>
    </w:pPr>
    <w:rPr>
      <w:rFonts w:eastAsia="仿宋_GB2312"/>
      <w:sz w:val="32"/>
    </w:rPr>
  </w:style>
  <w:style w:type="paragraph" w:customStyle="1" w:styleId="19">
    <w:name w:val="NormalIndent"/>
    <w:basedOn w:val="1"/>
    <w:autoRedefine/>
    <w:qFormat/>
    <w:uiPriority w:val="0"/>
    <w:pPr>
      <w:ind w:firstLine="420"/>
    </w:pPr>
  </w:style>
  <w:style w:type="paragraph" w:customStyle="1" w:styleId="20">
    <w:name w:val="BodyText"/>
    <w:basedOn w:val="1"/>
    <w:link w:val="30"/>
    <w:autoRedefine/>
    <w:qFormat/>
    <w:uiPriority w:val="0"/>
    <w:pPr>
      <w:spacing w:after="120"/>
      <w:jc w:val="left"/>
    </w:pPr>
    <w:rPr>
      <w:rFonts w:ascii="Times New Roman"/>
      <w:szCs w:val="24"/>
    </w:rPr>
  </w:style>
  <w:style w:type="character" w:customStyle="1" w:styleId="21">
    <w:name w:val="NormalCharacter"/>
    <w:autoRedefine/>
    <w:qFormat/>
    <w:uiPriority w:val="0"/>
  </w:style>
  <w:style w:type="table" w:customStyle="1" w:styleId="22">
    <w:name w:val="TableNormal"/>
    <w:qFormat/>
    <w:uiPriority w:val="0"/>
    <w:tblPr>
      <w:tblCellMar>
        <w:top w:w="0" w:type="dxa"/>
        <w:left w:w="0" w:type="dxa"/>
        <w:bottom w:w="0" w:type="dxa"/>
        <w:right w:w="0" w:type="dxa"/>
      </w:tblCellMar>
    </w:tblPr>
  </w:style>
  <w:style w:type="character" w:customStyle="1" w:styleId="23">
    <w:name w:val="UserStyle_0"/>
    <w:autoRedefine/>
    <w:qFormat/>
    <w:uiPriority w:val="0"/>
    <w:rPr>
      <w:rFonts w:ascii="宋体" w:hAnsi="Courier New" w:eastAsia="宋体"/>
      <w:kern w:val="2"/>
      <w:sz w:val="21"/>
      <w:szCs w:val="21"/>
    </w:rPr>
  </w:style>
  <w:style w:type="character" w:customStyle="1" w:styleId="24">
    <w:name w:val="页脚 字符"/>
    <w:link w:val="8"/>
    <w:qFormat/>
    <w:uiPriority w:val="0"/>
    <w:rPr>
      <w:kern w:val="2"/>
      <w:sz w:val="18"/>
      <w:szCs w:val="18"/>
    </w:rPr>
  </w:style>
  <w:style w:type="character" w:customStyle="1" w:styleId="25">
    <w:name w:val="UserStyle_2"/>
    <w:link w:val="26"/>
    <w:autoRedefine/>
    <w:qFormat/>
    <w:uiPriority w:val="0"/>
    <w:rPr>
      <w:rFonts w:ascii="宋体" w:hAnsi="Courier New"/>
      <w:kern w:val="2"/>
      <w:sz w:val="21"/>
      <w:szCs w:val="21"/>
    </w:rPr>
  </w:style>
  <w:style w:type="paragraph" w:customStyle="1" w:styleId="26">
    <w:name w:val="PlainText"/>
    <w:basedOn w:val="1"/>
    <w:link w:val="25"/>
    <w:autoRedefine/>
    <w:qFormat/>
    <w:uiPriority w:val="0"/>
    <w:rPr>
      <w:rFonts w:ascii="宋体" w:hAnsi="Courier New" w:eastAsia="仿宋_GB2312"/>
      <w:szCs w:val="21"/>
    </w:rPr>
  </w:style>
  <w:style w:type="character" w:customStyle="1" w:styleId="27">
    <w:name w:val="UserStyle_3"/>
    <w:link w:val="28"/>
    <w:autoRedefine/>
    <w:qFormat/>
    <w:uiPriority w:val="0"/>
    <w:rPr>
      <w:rFonts w:ascii="MingLiU" w:hAnsi="MingLiU" w:eastAsia="MingLiU"/>
      <w:sz w:val="18"/>
      <w:szCs w:val="18"/>
      <w:lang w:val="zh-TW" w:eastAsia="zh-TW" w:bidi="zh-TW"/>
    </w:rPr>
  </w:style>
  <w:style w:type="paragraph" w:customStyle="1" w:styleId="28">
    <w:name w:val="UserStyle_4"/>
    <w:basedOn w:val="1"/>
    <w:link w:val="27"/>
    <w:autoRedefine/>
    <w:qFormat/>
    <w:uiPriority w:val="0"/>
    <w:pPr>
      <w:spacing w:line="386" w:lineRule="auto"/>
      <w:ind w:firstLine="400"/>
      <w:jc w:val="left"/>
    </w:pPr>
    <w:rPr>
      <w:rFonts w:ascii="MingLiU" w:hAnsi="MingLiU" w:eastAsia="MingLiU"/>
      <w:kern w:val="0"/>
      <w:sz w:val="18"/>
      <w:szCs w:val="18"/>
      <w:lang w:val="zh-TW" w:eastAsia="zh-TW" w:bidi="zh-TW"/>
    </w:rPr>
  </w:style>
  <w:style w:type="character" w:customStyle="1" w:styleId="29">
    <w:name w:val="页眉 字符"/>
    <w:link w:val="9"/>
    <w:autoRedefine/>
    <w:qFormat/>
    <w:uiPriority w:val="0"/>
    <w:rPr>
      <w:kern w:val="2"/>
      <w:sz w:val="18"/>
      <w:szCs w:val="18"/>
    </w:rPr>
  </w:style>
  <w:style w:type="character" w:customStyle="1" w:styleId="30">
    <w:name w:val="UserStyle_6"/>
    <w:link w:val="20"/>
    <w:qFormat/>
    <w:uiPriority w:val="0"/>
    <w:rPr>
      <w:rFonts w:ascii="Times New Roman" w:hAnsi="Times New Roman" w:eastAsia="宋体"/>
      <w:kern w:val="2"/>
      <w:sz w:val="21"/>
      <w:szCs w:val="24"/>
    </w:rPr>
  </w:style>
  <w:style w:type="character" w:customStyle="1" w:styleId="31">
    <w:name w:val="副标题 字符"/>
    <w:link w:val="11"/>
    <w:autoRedefine/>
    <w:qFormat/>
    <w:uiPriority w:val="0"/>
    <w:rPr>
      <w:rFonts w:ascii="Cambria" w:hAnsi="Cambria" w:eastAsia="黑体" w:cs="Times New Roman"/>
      <w:b/>
      <w:bCs/>
      <w:kern w:val="28"/>
      <w:sz w:val="24"/>
      <w:szCs w:val="32"/>
    </w:rPr>
  </w:style>
  <w:style w:type="paragraph" w:customStyle="1" w:styleId="32">
    <w:name w:val="BodyText1I"/>
    <w:basedOn w:val="20"/>
    <w:autoRedefine/>
    <w:qFormat/>
    <w:uiPriority w:val="0"/>
    <w:pPr>
      <w:ind w:firstLine="420" w:firstLineChars="100"/>
    </w:pPr>
    <w:rPr>
      <w:rFonts w:eastAsia="Times New Roman"/>
    </w:rPr>
  </w:style>
  <w:style w:type="paragraph" w:customStyle="1" w:styleId="33">
    <w:name w:val="HtmlNormal"/>
    <w:basedOn w:val="1"/>
    <w:autoRedefine/>
    <w:qFormat/>
    <w:uiPriority w:val="0"/>
    <w:pPr>
      <w:spacing w:before="100" w:beforeAutospacing="1" w:after="100" w:afterAutospacing="1"/>
      <w:jc w:val="left"/>
    </w:pPr>
    <w:rPr>
      <w:rFonts w:ascii="宋体" w:hAnsi="宋体"/>
      <w:kern w:val="0"/>
      <w:sz w:val="24"/>
      <w:szCs w:val="24"/>
    </w:rPr>
  </w:style>
  <w:style w:type="paragraph" w:customStyle="1" w:styleId="34">
    <w:name w:val="UserStyle_8"/>
    <w:basedOn w:val="1"/>
    <w:autoRedefine/>
    <w:qFormat/>
    <w:uiPriority w:val="0"/>
    <w:pPr>
      <w:shd w:val="clear" w:color="auto" w:fill="FFFFFF"/>
      <w:spacing w:before="1100" w:line="220" w:lineRule="exact"/>
      <w:ind w:hanging="140"/>
      <w:jc w:val="center"/>
    </w:pPr>
    <w:rPr>
      <w:rFonts w:ascii="PMingLiU" w:hAnsi="PMingLiU" w:eastAsia="PMingLiU"/>
      <w:spacing w:val="10"/>
    </w:rPr>
  </w:style>
  <w:style w:type="table" w:customStyle="1" w:styleId="35">
    <w:name w:val="UserStyle_9"/>
    <w:autoRedefine/>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9" textRotate="1"/>
    <customShpInfo spid="_x0000_s410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2381</Words>
  <Characters>3402</Characters>
  <Lines>34</Lines>
  <Paragraphs>9</Paragraphs>
  <TotalTime>1</TotalTime>
  <ScaleCrop>false</ScaleCrop>
  <LinksUpToDate>false</LinksUpToDate>
  <CharactersWithSpaces>3463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2021-05-19T03:28:00Z</dcterms:created>
  <dc:creator>Joey</dc:creator>
  <cp:lastModifiedBy>L</cp:lastModifiedBy>
  <dcterms:modified xsi:type="dcterms:W3CDTF">2026-05-06T01:29:25Z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02E7AC70647447D29074B24EDC3C36B4</vt:lpwstr>
  </property>
  <property fmtid="{D5CDD505-2E9C-101B-9397-08002B2CF9AE}" pid="4" name="KSOTemplateDocerSaveRecord">
    <vt:lpwstr>eyJoZGlkIjoiMTA5NWUxMDYwNDg2YzhiMmE5MWVhZTA5NWYxZjhiZTAiLCJ1c2VySWQiOiI0MDAzMzU3NDYifQ==</vt:lpwstr>
  </property>
</Properties>
</file>